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CD5C24">
      <w:pPr>
        <w:spacing w:before="62" w:after="62" w:line="560" w:lineRule="exact"/>
        <w:ind w:firstLine="0" w:firstLineChars="0"/>
        <w:rPr>
          <w:rFonts w:hint="eastAsia" w:ascii="黑体" w:hAnsi="黑体" w:eastAsia="黑体"/>
          <w:szCs w:val="32"/>
        </w:rPr>
      </w:pPr>
      <w:r>
        <w:drawing>
          <wp:anchor distT="0" distB="0" distL="114300" distR="114300" simplePos="0" relativeHeight="251659264" behindDoc="0" locked="0" layoutInCell="1" allowOverlap="1">
            <wp:simplePos x="0" y="0"/>
            <wp:positionH relativeFrom="column">
              <wp:posOffset>4124960</wp:posOffset>
            </wp:positionH>
            <wp:positionV relativeFrom="paragraph">
              <wp:posOffset>-764540</wp:posOffset>
            </wp:positionV>
            <wp:extent cx="2091055" cy="1246505"/>
            <wp:effectExtent l="0" t="0" r="12065" b="3175"/>
            <wp:wrapNone/>
            <wp:docPr id="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091055" cy="1246505"/>
                    </a:xfrm>
                    <a:prstGeom prst="rect">
                      <a:avLst/>
                    </a:prstGeom>
                  </pic:spPr>
                </pic:pic>
              </a:graphicData>
            </a:graphic>
          </wp:anchor>
        </w:drawing>
      </w:r>
      <w:r>
        <w:rPr>
          <w:rFonts w:hint="eastAsia" w:ascii="黑体" w:hAnsi="黑体" w:eastAsia="黑体"/>
          <w:szCs w:val="32"/>
        </w:rPr>
        <w:t>附件</w:t>
      </w:r>
    </w:p>
    <w:p w14:paraId="7E54A4FF">
      <w:pPr>
        <w:spacing w:before="62" w:after="62"/>
        <w:ind w:firstLine="640"/>
      </w:pPr>
    </w:p>
    <w:p w14:paraId="104AB543">
      <w:pPr>
        <w:widowControl/>
        <w:spacing w:before="0" w:beforeLines="0" w:after="0" w:afterLines="0" w:line="240" w:lineRule="auto"/>
        <w:ind w:firstLine="0" w:firstLineChars="0"/>
        <w:jc w:val="center"/>
        <w:rPr>
          <w:rFonts w:hint="eastAsia" w:ascii="仿宋" w:hAnsi="仿宋" w:eastAsia="仿宋" w:cs="仿宋"/>
          <w:b/>
          <w:bCs/>
          <w:kern w:val="0"/>
          <w:sz w:val="52"/>
          <w:szCs w:val="52"/>
          <w:lang w:bidi="ar"/>
        </w:rPr>
      </w:pPr>
    </w:p>
    <w:p w14:paraId="1D18911A">
      <w:pPr>
        <w:widowControl/>
        <w:spacing w:before="0" w:beforeLines="0" w:after="0" w:afterLines="0" w:line="240" w:lineRule="auto"/>
        <w:ind w:firstLine="0" w:firstLineChars="0"/>
        <w:jc w:val="center"/>
        <w:rPr>
          <w:rFonts w:hint="eastAsia" w:ascii="仿宋" w:hAnsi="仿宋" w:eastAsia="仿宋" w:cs="仿宋"/>
          <w:b/>
          <w:bCs/>
          <w:kern w:val="0"/>
          <w:sz w:val="52"/>
          <w:szCs w:val="52"/>
          <w:lang w:bidi="ar"/>
        </w:rPr>
      </w:pPr>
      <w:r>
        <w:rPr>
          <w:rFonts w:hint="eastAsia" w:ascii="仿宋" w:hAnsi="仿宋" w:eastAsia="仿宋" w:cs="仿宋"/>
          <w:b/>
          <w:bCs/>
          <w:kern w:val="0"/>
          <w:sz w:val="52"/>
          <w:szCs w:val="52"/>
          <w:lang w:bidi="ar"/>
        </w:rPr>
        <w:t>云南省职业院校技能大赛</w:t>
      </w:r>
    </w:p>
    <w:p w14:paraId="52834A0B">
      <w:pPr>
        <w:widowControl/>
        <w:spacing w:before="0" w:beforeLines="0" w:after="0" w:afterLines="0" w:line="240" w:lineRule="auto"/>
        <w:ind w:firstLine="0" w:firstLineChars="0"/>
        <w:jc w:val="center"/>
        <w:rPr>
          <w:rFonts w:hint="eastAsia" w:ascii="仿宋" w:hAnsi="仿宋" w:eastAsia="仿宋" w:cs="仿宋"/>
          <w:b/>
          <w:bCs/>
          <w:kern w:val="0"/>
          <w:sz w:val="52"/>
          <w:szCs w:val="52"/>
          <w:lang w:bidi="ar"/>
        </w:rPr>
      </w:pPr>
      <w:r>
        <w:rPr>
          <w:rFonts w:hint="eastAsia" w:ascii="仿宋" w:hAnsi="仿宋" w:eastAsia="仿宋" w:cs="仿宋"/>
          <w:b/>
          <w:bCs/>
          <w:kern w:val="0"/>
          <w:sz w:val="52"/>
          <w:szCs w:val="52"/>
          <w:lang w:bidi="ar"/>
        </w:rPr>
        <w:t>赛项规程</w:t>
      </w:r>
    </w:p>
    <w:p w14:paraId="11BC594C">
      <w:pPr>
        <w:spacing w:before="62" w:after="62"/>
        <w:ind w:firstLine="640"/>
      </w:pPr>
    </w:p>
    <w:p w14:paraId="01BA6F29">
      <w:pPr>
        <w:spacing w:before="62" w:after="62"/>
        <w:ind w:firstLine="640"/>
      </w:pPr>
    </w:p>
    <w:p w14:paraId="6847345C">
      <w:pPr>
        <w:spacing w:before="62" w:after="62"/>
        <w:ind w:firstLine="640"/>
      </w:pPr>
    </w:p>
    <w:p w14:paraId="0EB09DAC">
      <w:pPr>
        <w:spacing w:before="62" w:after="62"/>
        <w:ind w:firstLine="640"/>
      </w:pPr>
    </w:p>
    <w:p w14:paraId="289D7759">
      <w:pPr>
        <w:spacing w:before="62" w:after="62"/>
        <w:ind w:firstLine="640"/>
      </w:pPr>
    </w:p>
    <w:p w14:paraId="3BF85D16">
      <w:pPr>
        <w:spacing w:before="62" w:after="62"/>
        <w:ind w:firstLine="640"/>
      </w:pPr>
    </w:p>
    <w:p w14:paraId="4217E0F8">
      <w:pPr>
        <w:spacing w:before="62" w:after="62"/>
        <w:ind w:firstLine="640"/>
      </w:pPr>
      <w:r>
        <w:rPr>
          <w:rFonts w:hint="eastAsia"/>
        </w:rPr>
        <w:t>赛项名称：园林景观设计与施工</w:t>
      </w:r>
    </w:p>
    <w:p w14:paraId="291E6AFA">
      <w:pPr>
        <w:spacing w:before="62" w:after="62"/>
        <w:ind w:firstLine="640"/>
      </w:pPr>
      <w:r>
        <w:rPr>
          <w:rFonts w:hint="eastAsia"/>
        </w:rPr>
        <w:t xml:space="preserve">英文名称：Landscape Design and Construction     </w:t>
      </w:r>
    </w:p>
    <w:p w14:paraId="0EFACD58">
      <w:pPr>
        <w:spacing w:before="62" w:after="62"/>
        <w:ind w:firstLine="640"/>
      </w:pPr>
      <w:r>
        <w:rPr>
          <w:rFonts w:hint="eastAsia"/>
        </w:rPr>
        <w:t xml:space="preserve">赛项组别：高职组             </w:t>
      </w:r>
    </w:p>
    <w:p w14:paraId="46A45840">
      <w:pPr>
        <w:spacing w:before="62" w:after="62"/>
        <w:ind w:firstLine="640"/>
      </w:pPr>
      <w:r>
        <w:rPr>
          <w:rFonts w:hint="eastAsia"/>
        </w:rPr>
        <w:t xml:space="preserve">赛项编号：               </w:t>
      </w:r>
    </w:p>
    <w:p w14:paraId="29DA5A54">
      <w:pPr>
        <w:spacing w:before="62" w:after="62"/>
        <w:ind w:firstLine="640"/>
      </w:pPr>
    </w:p>
    <w:p w14:paraId="38C82281">
      <w:pPr>
        <w:spacing w:before="62" w:after="62"/>
        <w:ind w:firstLine="640"/>
      </w:pPr>
    </w:p>
    <w:p w14:paraId="70E08E78">
      <w:pPr>
        <w:spacing w:before="62" w:after="62"/>
        <w:ind w:firstLine="640"/>
      </w:pPr>
    </w:p>
    <w:p w14:paraId="71C6891A">
      <w:pPr>
        <w:spacing w:before="62" w:after="62"/>
        <w:ind w:firstLine="640"/>
      </w:pPr>
    </w:p>
    <w:p w14:paraId="68869FDB">
      <w:pPr>
        <w:spacing w:before="62" w:after="62"/>
        <w:ind w:firstLine="640"/>
      </w:pPr>
    </w:p>
    <w:p w14:paraId="0FAF86AD">
      <w:pPr>
        <w:spacing w:before="62" w:after="62"/>
        <w:ind w:firstLine="640"/>
      </w:pPr>
    </w:p>
    <w:p w14:paraId="5BCE66D3">
      <w:pPr>
        <w:snapToGrid w:val="0"/>
        <w:spacing w:before="62" w:after="62" w:line="560" w:lineRule="exact"/>
        <w:ind w:firstLine="0" w:firstLineChars="0"/>
        <w:rPr>
          <w:sz w:val="30"/>
          <w:szCs w:val="30"/>
        </w:rPr>
      </w:pPr>
      <w:r>
        <w:rPr>
          <w:rFonts w:hint="eastAsia"/>
          <w:sz w:val="30"/>
          <w:szCs w:val="30"/>
        </w:rPr>
        <w:t>一、赛项信息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100"/>
        <w:gridCol w:w="1416"/>
        <w:gridCol w:w="4683"/>
      </w:tblGrid>
      <w:tr w14:paraId="2581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vAlign w:val="center"/>
          </w:tcPr>
          <w:p w14:paraId="184B8D8A">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赛项类别</w:t>
            </w:r>
          </w:p>
        </w:tc>
      </w:tr>
      <w:tr w14:paraId="4898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vAlign w:val="center"/>
          </w:tcPr>
          <w:p w14:paraId="77490D86">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sym w:font="Wingdings 2" w:char="0052"/>
            </w:r>
            <w:r>
              <w:rPr>
                <w:rFonts w:hint="eastAsia" w:ascii="仿宋" w:hAnsi="仿宋" w:eastAsia="仿宋" w:cs="仿宋"/>
                <w:sz w:val="24"/>
                <w:szCs w:val="24"/>
              </w:rPr>
              <w:t>每年赛  □隔年赛（□单数年/□双数年）</w:t>
            </w:r>
          </w:p>
        </w:tc>
      </w:tr>
      <w:tr w14:paraId="4F42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vAlign w:val="center"/>
          </w:tcPr>
          <w:p w14:paraId="26E8E267">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赛项组别</w:t>
            </w:r>
          </w:p>
        </w:tc>
      </w:tr>
      <w:tr w14:paraId="29FD3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vAlign w:val="center"/>
          </w:tcPr>
          <w:p w14:paraId="3E1AECDA">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 xml:space="preserve">□中等职业教育   </w:t>
            </w:r>
            <w:r>
              <w:rPr>
                <w:rFonts w:hint="eastAsia" w:ascii="仿宋" w:hAnsi="仿宋" w:eastAsia="仿宋" w:cs="仿宋"/>
                <w:sz w:val="24"/>
                <w:szCs w:val="24"/>
              </w:rPr>
              <w:sym w:font="Wingdings 2" w:char="0052"/>
            </w:r>
            <w:r>
              <w:rPr>
                <w:rFonts w:hint="eastAsia" w:ascii="仿宋" w:hAnsi="仿宋" w:eastAsia="仿宋" w:cs="仿宋"/>
                <w:sz w:val="24"/>
                <w:szCs w:val="24"/>
              </w:rPr>
              <w:t>高等职业教育</w:t>
            </w:r>
          </w:p>
        </w:tc>
      </w:tr>
      <w:tr w14:paraId="5245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vAlign w:val="center"/>
          </w:tcPr>
          <w:p w14:paraId="7230B966">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sym w:font="Wingdings 2" w:char="0052"/>
            </w:r>
            <w:r>
              <w:rPr>
                <w:rFonts w:hint="eastAsia" w:ascii="仿宋" w:hAnsi="仿宋" w:eastAsia="仿宋" w:cs="仿宋"/>
                <w:sz w:val="24"/>
                <w:szCs w:val="24"/>
              </w:rPr>
              <w:t>学生赛（□个人/</w:t>
            </w:r>
            <w:r>
              <w:rPr>
                <w:rFonts w:hint="eastAsia" w:ascii="仿宋" w:hAnsi="仿宋" w:eastAsia="仿宋" w:cs="仿宋"/>
                <w:sz w:val="24"/>
                <w:szCs w:val="24"/>
              </w:rPr>
              <w:sym w:font="Wingdings 2" w:char="0052"/>
            </w:r>
            <w:r>
              <w:rPr>
                <w:rFonts w:hint="eastAsia" w:ascii="仿宋" w:hAnsi="仿宋" w:eastAsia="仿宋" w:cs="仿宋"/>
                <w:sz w:val="24"/>
                <w:szCs w:val="24"/>
              </w:rPr>
              <w:t>团体） □师生同赛 □教师赛</w:t>
            </w:r>
          </w:p>
        </w:tc>
      </w:tr>
      <w:tr w14:paraId="4C153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vAlign w:val="center"/>
          </w:tcPr>
          <w:p w14:paraId="4C1B3D8D">
            <w:pPr>
              <w:spacing w:before="0" w:beforeLines="0" w:after="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涉及专业大类、专业类、专业及核心课程</w:t>
            </w:r>
          </w:p>
        </w:tc>
      </w:tr>
      <w:tr w14:paraId="2DC8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Align w:val="center"/>
          </w:tcPr>
          <w:p w14:paraId="645151BF">
            <w:pPr>
              <w:spacing w:before="0" w:beforeLines="0" w:after="0" w:afterLines="0" w:line="240" w:lineRule="auto"/>
              <w:ind w:firstLine="0" w:firstLineChars="0"/>
              <w:jc w:val="center"/>
              <w:rPr>
                <w:sz w:val="24"/>
                <w:szCs w:val="24"/>
              </w:rPr>
            </w:pPr>
            <w:r>
              <w:rPr>
                <w:rFonts w:hint="eastAsia"/>
                <w:sz w:val="24"/>
                <w:szCs w:val="24"/>
              </w:rPr>
              <w:t>专业大类</w:t>
            </w:r>
          </w:p>
        </w:tc>
        <w:tc>
          <w:tcPr>
            <w:tcW w:w="1100" w:type="dxa"/>
            <w:vAlign w:val="center"/>
          </w:tcPr>
          <w:p w14:paraId="1EB9FDAE">
            <w:pPr>
              <w:spacing w:before="0" w:beforeLines="0" w:after="0" w:afterLines="0" w:line="240" w:lineRule="auto"/>
              <w:ind w:firstLine="0" w:firstLineChars="0"/>
              <w:jc w:val="center"/>
              <w:rPr>
                <w:sz w:val="24"/>
                <w:szCs w:val="24"/>
              </w:rPr>
            </w:pPr>
            <w:r>
              <w:rPr>
                <w:rFonts w:hint="eastAsia"/>
                <w:sz w:val="24"/>
                <w:szCs w:val="24"/>
              </w:rPr>
              <w:t>专业类</w:t>
            </w:r>
          </w:p>
        </w:tc>
        <w:tc>
          <w:tcPr>
            <w:tcW w:w="1416" w:type="dxa"/>
            <w:vAlign w:val="center"/>
          </w:tcPr>
          <w:p w14:paraId="6045C843">
            <w:pPr>
              <w:spacing w:before="0" w:beforeLines="0" w:after="0" w:afterLines="0" w:line="240" w:lineRule="auto"/>
              <w:ind w:firstLine="0" w:firstLineChars="0"/>
              <w:rPr>
                <w:sz w:val="24"/>
                <w:szCs w:val="24"/>
              </w:rPr>
            </w:pPr>
            <w:r>
              <w:rPr>
                <w:rFonts w:hint="eastAsia"/>
                <w:sz w:val="24"/>
                <w:szCs w:val="24"/>
              </w:rPr>
              <w:t>专业名称</w:t>
            </w:r>
          </w:p>
        </w:tc>
        <w:tc>
          <w:tcPr>
            <w:tcW w:w="4683" w:type="dxa"/>
            <w:vAlign w:val="center"/>
          </w:tcPr>
          <w:p w14:paraId="70209A30">
            <w:pPr>
              <w:spacing w:before="0" w:beforeLines="0" w:after="0" w:afterLines="0" w:line="240" w:lineRule="auto"/>
              <w:ind w:firstLine="480"/>
              <w:jc w:val="center"/>
              <w:rPr>
                <w:sz w:val="24"/>
                <w:szCs w:val="24"/>
              </w:rPr>
            </w:pPr>
            <w:r>
              <w:rPr>
                <w:rFonts w:hint="eastAsia"/>
                <w:sz w:val="24"/>
                <w:szCs w:val="24"/>
              </w:rPr>
              <w:t>核心课程</w:t>
            </w:r>
          </w:p>
        </w:tc>
      </w:tr>
      <w:tr w14:paraId="7B954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restart"/>
            <w:vAlign w:val="center"/>
          </w:tcPr>
          <w:p w14:paraId="70A1EC9E">
            <w:pPr>
              <w:spacing w:before="0" w:beforeLines="0" w:after="0" w:afterLines="0" w:line="240" w:lineRule="auto"/>
              <w:ind w:firstLine="0" w:firstLineChars="0"/>
              <w:rPr>
                <w:rFonts w:cs="仿宋_GB2312"/>
                <w:color w:val="000000"/>
                <w:kern w:val="0"/>
                <w:sz w:val="24"/>
                <w:lang w:bidi="ar"/>
              </w:rPr>
            </w:pPr>
            <w:r>
              <w:rPr>
                <w:rFonts w:hint="eastAsia" w:cs="仿宋_GB2312"/>
                <w:color w:val="000000"/>
                <w:kern w:val="0"/>
                <w:sz w:val="24"/>
                <w:lang w:bidi="ar"/>
              </w:rPr>
              <w:t>文化艺术（55）</w:t>
            </w:r>
          </w:p>
        </w:tc>
        <w:tc>
          <w:tcPr>
            <w:tcW w:w="1100" w:type="dxa"/>
            <w:vMerge w:val="restart"/>
            <w:vAlign w:val="center"/>
          </w:tcPr>
          <w:p w14:paraId="0EFF5E4A">
            <w:pPr>
              <w:spacing w:before="0" w:beforeLines="0" w:after="0" w:afterLines="0" w:line="240" w:lineRule="auto"/>
              <w:ind w:firstLine="0" w:firstLineChars="0"/>
              <w:rPr>
                <w:rFonts w:cs="仿宋_GB2312"/>
                <w:color w:val="000000"/>
                <w:kern w:val="0"/>
                <w:sz w:val="24"/>
                <w:lang w:bidi="ar"/>
              </w:rPr>
            </w:pPr>
            <w:r>
              <w:rPr>
                <w:rFonts w:hint="eastAsia" w:cs="仿宋_GB2312"/>
                <w:color w:val="000000"/>
                <w:kern w:val="0"/>
                <w:sz w:val="24"/>
                <w:lang w:bidi="ar"/>
              </w:rPr>
              <w:t>艺术设计（5501）</w:t>
            </w:r>
          </w:p>
        </w:tc>
        <w:tc>
          <w:tcPr>
            <w:tcW w:w="1416" w:type="dxa"/>
            <w:vMerge w:val="restart"/>
            <w:vAlign w:val="center"/>
          </w:tcPr>
          <w:p w14:paraId="75D0FE24">
            <w:pPr>
              <w:spacing w:before="0" w:beforeLines="0" w:after="0" w:afterLines="0" w:line="240" w:lineRule="auto"/>
              <w:ind w:firstLine="0" w:firstLineChars="0"/>
              <w:rPr>
                <w:sz w:val="24"/>
                <w:szCs w:val="24"/>
              </w:rPr>
            </w:pPr>
            <w:r>
              <w:rPr>
                <w:rFonts w:hint="eastAsia" w:cs="仿宋_GB2312"/>
                <w:color w:val="000000"/>
                <w:kern w:val="0"/>
                <w:sz w:val="24"/>
                <w:lang w:bidi="ar"/>
              </w:rPr>
              <w:t>环境艺术设计（550106）</w:t>
            </w:r>
          </w:p>
        </w:tc>
        <w:tc>
          <w:tcPr>
            <w:tcW w:w="4683" w:type="dxa"/>
            <w:vAlign w:val="center"/>
          </w:tcPr>
          <w:p w14:paraId="6DB2B34C">
            <w:pPr>
              <w:spacing w:before="0" w:beforeLines="0" w:after="0" w:afterLines="0" w:line="240" w:lineRule="auto"/>
              <w:ind w:firstLine="480"/>
              <w:jc w:val="center"/>
              <w:rPr>
                <w:sz w:val="24"/>
                <w:szCs w:val="24"/>
              </w:rPr>
            </w:pPr>
            <w:r>
              <w:rPr>
                <w:sz w:val="24"/>
                <w:szCs w:val="24"/>
              </w:rPr>
              <w:t>环境空间设计</w:t>
            </w:r>
          </w:p>
        </w:tc>
      </w:tr>
      <w:tr w14:paraId="763E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29BD3286">
            <w:pPr>
              <w:spacing w:before="0" w:beforeLines="0" w:after="0" w:afterLines="0" w:line="240" w:lineRule="auto"/>
              <w:ind w:firstLine="480"/>
              <w:jc w:val="center"/>
              <w:rPr>
                <w:sz w:val="24"/>
                <w:szCs w:val="24"/>
              </w:rPr>
            </w:pPr>
          </w:p>
        </w:tc>
        <w:tc>
          <w:tcPr>
            <w:tcW w:w="1100" w:type="dxa"/>
            <w:vMerge w:val="continue"/>
            <w:vAlign w:val="center"/>
          </w:tcPr>
          <w:p w14:paraId="5A480D6E">
            <w:pPr>
              <w:spacing w:before="0" w:beforeLines="0" w:after="0" w:afterLines="0" w:line="240" w:lineRule="auto"/>
              <w:ind w:firstLine="480"/>
              <w:jc w:val="center"/>
              <w:rPr>
                <w:sz w:val="24"/>
                <w:szCs w:val="24"/>
              </w:rPr>
            </w:pPr>
          </w:p>
        </w:tc>
        <w:tc>
          <w:tcPr>
            <w:tcW w:w="1416" w:type="dxa"/>
            <w:vMerge w:val="continue"/>
            <w:vAlign w:val="center"/>
          </w:tcPr>
          <w:p w14:paraId="19380B22">
            <w:pPr>
              <w:spacing w:before="0" w:beforeLines="0" w:after="0" w:afterLines="0" w:line="240" w:lineRule="auto"/>
              <w:ind w:firstLine="480"/>
              <w:jc w:val="center"/>
              <w:rPr>
                <w:sz w:val="24"/>
                <w:szCs w:val="24"/>
              </w:rPr>
            </w:pPr>
          </w:p>
        </w:tc>
        <w:tc>
          <w:tcPr>
            <w:tcW w:w="4683" w:type="dxa"/>
            <w:vAlign w:val="center"/>
          </w:tcPr>
          <w:p w14:paraId="160FC67C">
            <w:pPr>
              <w:spacing w:before="0" w:beforeLines="0" w:after="0" w:afterLines="0" w:line="240" w:lineRule="auto"/>
              <w:ind w:firstLine="480"/>
              <w:jc w:val="center"/>
              <w:rPr>
                <w:sz w:val="24"/>
                <w:szCs w:val="24"/>
              </w:rPr>
            </w:pPr>
            <w:r>
              <w:rPr>
                <w:sz w:val="24"/>
                <w:szCs w:val="24"/>
              </w:rPr>
              <w:t>环境设计材料与施工工艺</w:t>
            </w:r>
          </w:p>
        </w:tc>
      </w:tr>
      <w:tr w14:paraId="18EC9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restart"/>
            <w:vAlign w:val="center"/>
          </w:tcPr>
          <w:p w14:paraId="4D3153AB">
            <w:pPr>
              <w:spacing w:before="0" w:beforeLines="0" w:after="0" w:afterLines="0" w:line="240" w:lineRule="auto"/>
              <w:ind w:firstLine="0" w:firstLineChars="0"/>
              <w:rPr>
                <w:sz w:val="24"/>
                <w:szCs w:val="24"/>
              </w:rPr>
            </w:pPr>
            <w:r>
              <w:rPr>
                <w:rFonts w:ascii="仿宋_GB2312" w:hAnsi="宋体" w:cs="仿宋_GB2312"/>
                <w:color w:val="000000"/>
                <w:kern w:val="0"/>
                <w:sz w:val="24"/>
                <w:szCs w:val="24"/>
                <w:lang w:bidi="ar"/>
              </w:rPr>
              <w:t>农林牧渔</w:t>
            </w:r>
            <w:r>
              <w:rPr>
                <w:rFonts w:hint="eastAsia" w:ascii="仿宋_GB2312" w:hAnsi="宋体" w:cs="仿宋_GB2312"/>
                <w:color w:val="000000"/>
                <w:kern w:val="0"/>
                <w:sz w:val="24"/>
                <w:szCs w:val="24"/>
                <w:lang w:bidi="ar"/>
              </w:rPr>
              <w:t>（41）（高职专科）</w:t>
            </w:r>
          </w:p>
        </w:tc>
        <w:tc>
          <w:tcPr>
            <w:tcW w:w="1100" w:type="dxa"/>
            <w:vMerge w:val="restart"/>
            <w:vAlign w:val="center"/>
          </w:tcPr>
          <w:p w14:paraId="7863A60D">
            <w:pPr>
              <w:widowControl/>
              <w:spacing w:before="62" w:after="62" w:line="240" w:lineRule="auto"/>
              <w:ind w:firstLine="0" w:firstLineChars="0"/>
              <w:jc w:val="center"/>
              <w:rPr>
                <w:sz w:val="24"/>
                <w:szCs w:val="24"/>
              </w:rPr>
            </w:pPr>
            <w:r>
              <w:rPr>
                <w:rFonts w:hint="eastAsia" w:cs="仿宋_GB2312"/>
                <w:color w:val="000000"/>
                <w:kern w:val="0"/>
                <w:sz w:val="24"/>
                <w:lang w:bidi="ar"/>
              </w:rPr>
              <w:t>林业（4102）</w:t>
            </w:r>
          </w:p>
        </w:tc>
        <w:tc>
          <w:tcPr>
            <w:tcW w:w="1416" w:type="dxa"/>
            <w:vMerge w:val="restart"/>
            <w:vAlign w:val="center"/>
          </w:tcPr>
          <w:p w14:paraId="21E6463F">
            <w:pPr>
              <w:spacing w:before="0" w:beforeLines="0" w:after="0" w:afterLines="0" w:line="240" w:lineRule="auto"/>
              <w:ind w:firstLine="0" w:firstLineChars="0"/>
              <w:rPr>
                <w:sz w:val="24"/>
                <w:szCs w:val="24"/>
              </w:rPr>
            </w:pPr>
            <w:r>
              <w:rPr>
                <w:rFonts w:hint="eastAsia" w:cs="仿宋_GB2312"/>
                <w:color w:val="000000"/>
                <w:kern w:val="0"/>
                <w:sz w:val="24"/>
                <w:lang w:bidi="ar"/>
              </w:rPr>
              <w:t>园林技术（410202）</w:t>
            </w:r>
          </w:p>
        </w:tc>
        <w:tc>
          <w:tcPr>
            <w:tcW w:w="4683" w:type="dxa"/>
            <w:vAlign w:val="center"/>
          </w:tcPr>
          <w:p w14:paraId="1A21ACBD">
            <w:pPr>
              <w:spacing w:before="0" w:beforeLines="0" w:after="0" w:afterLines="0" w:line="240" w:lineRule="auto"/>
              <w:ind w:firstLine="480"/>
              <w:jc w:val="center"/>
              <w:rPr>
                <w:sz w:val="24"/>
                <w:szCs w:val="24"/>
              </w:rPr>
            </w:pPr>
            <w:r>
              <w:rPr>
                <w:rFonts w:hint="eastAsia"/>
                <w:sz w:val="24"/>
                <w:szCs w:val="24"/>
              </w:rPr>
              <w:t>园林设计</w:t>
            </w:r>
          </w:p>
        </w:tc>
      </w:tr>
      <w:tr w14:paraId="62DF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323" w:type="dxa"/>
            <w:vMerge w:val="continue"/>
            <w:vAlign w:val="center"/>
          </w:tcPr>
          <w:p w14:paraId="4873BA68">
            <w:pPr>
              <w:spacing w:before="0" w:beforeLines="0" w:after="0" w:afterLines="0" w:line="240" w:lineRule="auto"/>
              <w:ind w:firstLine="480"/>
              <w:jc w:val="center"/>
              <w:rPr>
                <w:sz w:val="24"/>
                <w:szCs w:val="24"/>
              </w:rPr>
            </w:pPr>
          </w:p>
        </w:tc>
        <w:tc>
          <w:tcPr>
            <w:tcW w:w="1100" w:type="dxa"/>
            <w:vMerge w:val="continue"/>
            <w:vAlign w:val="center"/>
          </w:tcPr>
          <w:p w14:paraId="1AC306CB">
            <w:pPr>
              <w:spacing w:before="0" w:beforeLines="0" w:after="0" w:afterLines="0" w:line="240" w:lineRule="auto"/>
              <w:ind w:firstLine="480"/>
              <w:jc w:val="center"/>
              <w:rPr>
                <w:sz w:val="24"/>
                <w:szCs w:val="24"/>
              </w:rPr>
            </w:pPr>
          </w:p>
        </w:tc>
        <w:tc>
          <w:tcPr>
            <w:tcW w:w="1416" w:type="dxa"/>
            <w:vMerge w:val="continue"/>
            <w:vAlign w:val="center"/>
          </w:tcPr>
          <w:p w14:paraId="46E85983">
            <w:pPr>
              <w:spacing w:before="0" w:beforeLines="0" w:after="0" w:afterLines="0" w:line="240" w:lineRule="auto"/>
              <w:ind w:firstLine="480"/>
              <w:jc w:val="center"/>
              <w:rPr>
                <w:sz w:val="24"/>
                <w:szCs w:val="24"/>
              </w:rPr>
            </w:pPr>
          </w:p>
        </w:tc>
        <w:tc>
          <w:tcPr>
            <w:tcW w:w="4683" w:type="dxa"/>
            <w:vAlign w:val="center"/>
          </w:tcPr>
          <w:p w14:paraId="5ABEC02B">
            <w:pPr>
              <w:spacing w:before="0" w:beforeLines="0" w:after="0" w:afterLines="0" w:line="240" w:lineRule="auto"/>
              <w:ind w:firstLine="480"/>
              <w:jc w:val="center"/>
              <w:rPr>
                <w:sz w:val="24"/>
                <w:szCs w:val="24"/>
              </w:rPr>
            </w:pPr>
            <w:r>
              <w:rPr>
                <w:rFonts w:hint="eastAsia"/>
                <w:sz w:val="24"/>
                <w:szCs w:val="24"/>
              </w:rPr>
              <w:t>园林工程施工</w:t>
            </w:r>
          </w:p>
        </w:tc>
      </w:tr>
      <w:tr w14:paraId="2E5D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restart"/>
            <w:vAlign w:val="center"/>
          </w:tcPr>
          <w:p w14:paraId="23E9A6F8">
            <w:pPr>
              <w:spacing w:before="0" w:beforeLines="0" w:after="0" w:afterLines="0" w:line="240" w:lineRule="auto"/>
              <w:ind w:firstLine="0" w:firstLineChars="0"/>
              <w:rPr>
                <w:sz w:val="24"/>
                <w:szCs w:val="24"/>
              </w:rPr>
            </w:pPr>
            <w:r>
              <w:rPr>
                <w:rFonts w:hint="eastAsia"/>
                <w:sz w:val="24"/>
                <w:szCs w:val="24"/>
              </w:rPr>
              <w:t>土木建筑（44）</w:t>
            </w:r>
          </w:p>
        </w:tc>
        <w:tc>
          <w:tcPr>
            <w:tcW w:w="1100" w:type="dxa"/>
            <w:vMerge w:val="restart"/>
            <w:vAlign w:val="center"/>
          </w:tcPr>
          <w:p w14:paraId="55B741BF">
            <w:pPr>
              <w:spacing w:before="0" w:beforeLines="0" w:after="0" w:afterLines="0" w:line="240" w:lineRule="auto"/>
              <w:ind w:firstLine="0" w:firstLineChars="0"/>
              <w:rPr>
                <w:sz w:val="24"/>
                <w:szCs w:val="24"/>
              </w:rPr>
            </w:pPr>
            <w:r>
              <w:rPr>
                <w:rFonts w:hint="eastAsia"/>
                <w:sz w:val="24"/>
                <w:szCs w:val="24"/>
              </w:rPr>
              <w:t>建筑设计（4401）</w:t>
            </w:r>
          </w:p>
        </w:tc>
        <w:tc>
          <w:tcPr>
            <w:tcW w:w="1416" w:type="dxa"/>
            <w:vMerge w:val="restart"/>
            <w:vAlign w:val="center"/>
          </w:tcPr>
          <w:p w14:paraId="72622B6D">
            <w:pPr>
              <w:spacing w:before="0" w:beforeLines="0" w:after="0" w:afterLines="0" w:line="240" w:lineRule="auto"/>
              <w:ind w:firstLine="0" w:firstLineChars="0"/>
              <w:rPr>
                <w:sz w:val="24"/>
                <w:szCs w:val="24"/>
              </w:rPr>
            </w:pPr>
            <w:r>
              <w:rPr>
                <w:rFonts w:hint="eastAsia"/>
                <w:sz w:val="24"/>
                <w:szCs w:val="24"/>
              </w:rPr>
              <w:t>园林工程技术（440104）</w:t>
            </w:r>
          </w:p>
        </w:tc>
        <w:tc>
          <w:tcPr>
            <w:tcW w:w="4683" w:type="dxa"/>
            <w:vAlign w:val="center"/>
          </w:tcPr>
          <w:p w14:paraId="3B28FC25">
            <w:pPr>
              <w:spacing w:before="0" w:beforeLines="0" w:after="0" w:afterLines="0" w:line="240" w:lineRule="auto"/>
              <w:ind w:firstLine="480"/>
              <w:jc w:val="center"/>
              <w:rPr>
                <w:sz w:val="24"/>
                <w:szCs w:val="24"/>
              </w:rPr>
            </w:pPr>
            <w:r>
              <w:rPr>
                <w:rFonts w:hint="eastAsia"/>
                <w:sz w:val="24"/>
                <w:szCs w:val="24"/>
              </w:rPr>
              <w:t>园林景观设计</w:t>
            </w:r>
          </w:p>
        </w:tc>
      </w:tr>
      <w:tr w14:paraId="2A92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62A283FC">
            <w:pPr>
              <w:spacing w:before="0" w:beforeLines="0" w:after="0" w:afterLines="0" w:line="240" w:lineRule="auto"/>
              <w:ind w:firstLine="480"/>
              <w:jc w:val="center"/>
              <w:rPr>
                <w:sz w:val="24"/>
                <w:szCs w:val="24"/>
              </w:rPr>
            </w:pPr>
          </w:p>
        </w:tc>
        <w:tc>
          <w:tcPr>
            <w:tcW w:w="1100" w:type="dxa"/>
            <w:vMerge w:val="continue"/>
            <w:vAlign w:val="center"/>
          </w:tcPr>
          <w:p w14:paraId="0FAE495E">
            <w:pPr>
              <w:spacing w:before="0" w:beforeLines="0" w:after="0" w:afterLines="0" w:line="240" w:lineRule="auto"/>
              <w:ind w:firstLine="480"/>
              <w:jc w:val="center"/>
              <w:rPr>
                <w:sz w:val="24"/>
                <w:szCs w:val="24"/>
              </w:rPr>
            </w:pPr>
          </w:p>
        </w:tc>
        <w:tc>
          <w:tcPr>
            <w:tcW w:w="1416" w:type="dxa"/>
            <w:vMerge w:val="continue"/>
            <w:vAlign w:val="center"/>
          </w:tcPr>
          <w:p w14:paraId="2C41676D">
            <w:pPr>
              <w:spacing w:before="0" w:beforeLines="0" w:after="0" w:afterLines="0" w:line="240" w:lineRule="auto"/>
              <w:ind w:firstLine="480"/>
              <w:jc w:val="center"/>
              <w:rPr>
                <w:sz w:val="24"/>
                <w:szCs w:val="24"/>
              </w:rPr>
            </w:pPr>
          </w:p>
        </w:tc>
        <w:tc>
          <w:tcPr>
            <w:tcW w:w="4683" w:type="dxa"/>
            <w:vAlign w:val="center"/>
          </w:tcPr>
          <w:p w14:paraId="642996FD">
            <w:pPr>
              <w:spacing w:before="0" w:beforeLines="0" w:after="0" w:afterLines="0" w:line="240" w:lineRule="auto"/>
              <w:ind w:firstLine="480"/>
              <w:jc w:val="center"/>
              <w:rPr>
                <w:sz w:val="24"/>
                <w:szCs w:val="24"/>
              </w:rPr>
            </w:pPr>
            <w:r>
              <w:rPr>
                <w:rFonts w:hint="eastAsia"/>
                <w:sz w:val="24"/>
                <w:szCs w:val="24"/>
              </w:rPr>
              <w:t>园林工程施工</w:t>
            </w:r>
          </w:p>
        </w:tc>
      </w:tr>
      <w:tr w14:paraId="1FD39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4A6C77D7">
            <w:pPr>
              <w:spacing w:before="0" w:beforeLines="0" w:after="0" w:afterLines="0" w:line="240" w:lineRule="auto"/>
              <w:ind w:firstLine="480"/>
              <w:jc w:val="center"/>
              <w:rPr>
                <w:sz w:val="24"/>
                <w:szCs w:val="24"/>
              </w:rPr>
            </w:pPr>
          </w:p>
        </w:tc>
        <w:tc>
          <w:tcPr>
            <w:tcW w:w="1100" w:type="dxa"/>
            <w:vMerge w:val="continue"/>
            <w:vAlign w:val="center"/>
          </w:tcPr>
          <w:p w14:paraId="3E3E5676">
            <w:pPr>
              <w:spacing w:before="0" w:beforeLines="0" w:after="0" w:afterLines="0" w:line="240" w:lineRule="auto"/>
              <w:ind w:firstLine="480"/>
              <w:jc w:val="center"/>
              <w:rPr>
                <w:sz w:val="24"/>
                <w:szCs w:val="24"/>
              </w:rPr>
            </w:pPr>
          </w:p>
        </w:tc>
        <w:tc>
          <w:tcPr>
            <w:tcW w:w="1416" w:type="dxa"/>
            <w:vMerge w:val="restart"/>
            <w:vAlign w:val="center"/>
          </w:tcPr>
          <w:p w14:paraId="7887C129">
            <w:pPr>
              <w:spacing w:before="0" w:beforeLines="0" w:after="0" w:afterLines="0" w:line="240" w:lineRule="auto"/>
              <w:ind w:firstLine="0" w:firstLineChars="0"/>
              <w:rPr>
                <w:sz w:val="24"/>
                <w:szCs w:val="24"/>
              </w:rPr>
            </w:pPr>
            <w:r>
              <w:rPr>
                <w:rFonts w:hint="eastAsia" w:cs="仿宋_GB2312"/>
                <w:color w:val="000000"/>
                <w:kern w:val="0"/>
                <w:sz w:val="24"/>
                <w:lang w:bidi="ar"/>
              </w:rPr>
              <w:t>风景园林设计（440105）</w:t>
            </w:r>
          </w:p>
        </w:tc>
        <w:tc>
          <w:tcPr>
            <w:tcW w:w="4683" w:type="dxa"/>
            <w:vAlign w:val="center"/>
          </w:tcPr>
          <w:p w14:paraId="0B0A2900">
            <w:pPr>
              <w:spacing w:before="0" w:beforeLines="0" w:after="0" w:afterLines="0" w:line="240" w:lineRule="auto"/>
              <w:ind w:firstLine="480"/>
              <w:jc w:val="center"/>
              <w:rPr>
                <w:sz w:val="24"/>
                <w:szCs w:val="24"/>
              </w:rPr>
            </w:pPr>
            <w:r>
              <w:rPr>
                <w:rFonts w:hint="eastAsia"/>
                <w:sz w:val="24"/>
                <w:szCs w:val="24"/>
              </w:rPr>
              <w:t>园林规划设计</w:t>
            </w:r>
          </w:p>
        </w:tc>
      </w:tr>
      <w:tr w14:paraId="485D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13315622">
            <w:pPr>
              <w:spacing w:before="0" w:beforeLines="0" w:after="0" w:afterLines="0" w:line="240" w:lineRule="auto"/>
              <w:ind w:firstLine="480"/>
              <w:jc w:val="center"/>
              <w:rPr>
                <w:sz w:val="24"/>
                <w:szCs w:val="24"/>
              </w:rPr>
            </w:pPr>
          </w:p>
        </w:tc>
        <w:tc>
          <w:tcPr>
            <w:tcW w:w="1100" w:type="dxa"/>
            <w:vMerge w:val="continue"/>
            <w:vAlign w:val="center"/>
          </w:tcPr>
          <w:p w14:paraId="66C21A29">
            <w:pPr>
              <w:spacing w:before="0" w:beforeLines="0" w:after="0" w:afterLines="0" w:line="240" w:lineRule="auto"/>
              <w:ind w:firstLine="480"/>
              <w:jc w:val="center"/>
              <w:rPr>
                <w:sz w:val="24"/>
                <w:szCs w:val="24"/>
              </w:rPr>
            </w:pPr>
          </w:p>
        </w:tc>
        <w:tc>
          <w:tcPr>
            <w:tcW w:w="1416" w:type="dxa"/>
            <w:vMerge w:val="continue"/>
            <w:vAlign w:val="center"/>
          </w:tcPr>
          <w:p w14:paraId="3F727F7F">
            <w:pPr>
              <w:spacing w:before="0" w:beforeLines="0" w:after="0" w:afterLines="0" w:line="240" w:lineRule="auto"/>
              <w:ind w:firstLine="480"/>
              <w:jc w:val="center"/>
              <w:rPr>
                <w:sz w:val="24"/>
                <w:szCs w:val="24"/>
              </w:rPr>
            </w:pPr>
          </w:p>
        </w:tc>
        <w:tc>
          <w:tcPr>
            <w:tcW w:w="4683" w:type="dxa"/>
            <w:vAlign w:val="center"/>
          </w:tcPr>
          <w:p w14:paraId="2691F47E">
            <w:pPr>
              <w:spacing w:before="0" w:beforeLines="0" w:after="0" w:afterLines="0" w:line="240" w:lineRule="auto"/>
              <w:ind w:firstLine="480"/>
              <w:jc w:val="center"/>
              <w:rPr>
                <w:sz w:val="24"/>
                <w:szCs w:val="24"/>
              </w:rPr>
            </w:pPr>
            <w:r>
              <w:rPr>
                <w:rFonts w:hint="eastAsia"/>
                <w:sz w:val="24"/>
                <w:szCs w:val="24"/>
              </w:rPr>
              <w:t>园林植物造景设计</w:t>
            </w:r>
          </w:p>
        </w:tc>
      </w:tr>
      <w:tr w14:paraId="2763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vAlign w:val="center"/>
          </w:tcPr>
          <w:p w14:paraId="402A0738">
            <w:pPr>
              <w:spacing w:before="0" w:beforeLines="0" w:after="0" w:afterLines="0" w:line="240" w:lineRule="auto"/>
              <w:ind w:firstLine="480"/>
              <w:jc w:val="center"/>
              <w:rPr>
                <w:sz w:val="24"/>
                <w:szCs w:val="24"/>
              </w:rPr>
            </w:pPr>
            <w:r>
              <w:rPr>
                <w:rFonts w:hint="eastAsia"/>
                <w:sz w:val="24"/>
                <w:szCs w:val="24"/>
              </w:rPr>
              <w:t>对接产业行业、对应岗位（群）及核心能力</w:t>
            </w:r>
          </w:p>
        </w:tc>
      </w:tr>
      <w:tr w14:paraId="752A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Align w:val="center"/>
          </w:tcPr>
          <w:p w14:paraId="3791DF9F">
            <w:pPr>
              <w:spacing w:before="0" w:beforeLines="0" w:after="0" w:afterLines="0" w:line="240" w:lineRule="auto"/>
              <w:ind w:firstLine="0" w:firstLineChars="0"/>
              <w:jc w:val="center"/>
              <w:rPr>
                <w:sz w:val="24"/>
                <w:szCs w:val="24"/>
              </w:rPr>
            </w:pPr>
            <w:r>
              <w:rPr>
                <w:rFonts w:hint="eastAsia"/>
                <w:sz w:val="24"/>
                <w:szCs w:val="24"/>
              </w:rPr>
              <w:t>产业行业</w:t>
            </w:r>
          </w:p>
        </w:tc>
        <w:tc>
          <w:tcPr>
            <w:tcW w:w="2516" w:type="dxa"/>
            <w:gridSpan w:val="2"/>
            <w:vAlign w:val="center"/>
          </w:tcPr>
          <w:p w14:paraId="723CA908">
            <w:pPr>
              <w:spacing w:before="0" w:beforeLines="0" w:after="0" w:afterLines="0" w:line="240" w:lineRule="auto"/>
              <w:ind w:firstLine="0" w:firstLineChars="0"/>
              <w:jc w:val="center"/>
              <w:rPr>
                <w:sz w:val="24"/>
                <w:szCs w:val="24"/>
              </w:rPr>
            </w:pPr>
            <w:r>
              <w:rPr>
                <w:rFonts w:hint="eastAsia"/>
                <w:sz w:val="24"/>
                <w:szCs w:val="24"/>
              </w:rPr>
              <w:t>岗位（群）</w:t>
            </w:r>
          </w:p>
        </w:tc>
        <w:tc>
          <w:tcPr>
            <w:tcW w:w="4683" w:type="dxa"/>
            <w:vAlign w:val="center"/>
          </w:tcPr>
          <w:p w14:paraId="1C2D82AE">
            <w:pPr>
              <w:spacing w:before="0" w:beforeLines="0" w:after="0" w:afterLines="0" w:line="240" w:lineRule="auto"/>
              <w:ind w:firstLine="480"/>
              <w:jc w:val="center"/>
              <w:rPr>
                <w:sz w:val="24"/>
                <w:szCs w:val="24"/>
              </w:rPr>
            </w:pPr>
            <w:r>
              <w:rPr>
                <w:rFonts w:hint="eastAsia"/>
                <w:sz w:val="24"/>
                <w:szCs w:val="24"/>
              </w:rPr>
              <w:t>核心能力</w:t>
            </w:r>
          </w:p>
          <w:p w14:paraId="18FB20E9">
            <w:pPr>
              <w:spacing w:before="0" w:beforeLines="0" w:after="0" w:afterLines="0" w:line="240" w:lineRule="auto"/>
              <w:ind w:firstLine="0" w:firstLineChars="0"/>
              <w:rPr>
                <w:sz w:val="24"/>
                <w:szCs w:val="24"/>
              </w:rPr>
            </w:pPr>
            <w:r>
              <w:rPr>
                <w:rFonts w:hint="eastAsia"/>
                <w:sz w:val="24"/>
                <w:szCs w:val="24"/>
              </w:rPr>
              <w:t>（对应每个岗位（群），明确核心能力要求）</w:t>
            </w:r>
          </w:p>
        </w:tc>
      </w:tr>
      <w:tr w14:paraId="34BB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restart"/>
            <w:vAlign w:val="center"/>
          </w:tcPr>
          <w:p w14:paraId="6FFFE40B">
            <w:pPr>
              <w:widowControl/>
              <w:spacing w:before="62" w:after="62"/>
              <w:ind w:firstLine="0" w:firstLineChars="0"/>
              <w:jc w:val="left"/>
            </w:pPr>
            <w:r>
              <w:rPr>
                <w:rFonts w:ascii="仿宋_GB2312" w:hAnsi="宋体" w:cs="仿宋_GB2312"/>
                <w:color w:val="000000"/>
                <w:kern w:val="0"/>
                <w:sz w:val="24"/>
                <w:szCs w:val="24"/>
                <w:lang w:bidi="ar"/>
              </w:rPr>
              <w:t>1.战略性新</w:t>
            </w:r>
            <w:r>
              <w:rPr>
                <w:rFonts w:hint="eastAsia" w:ascii="仿宋_GB2312" w:hAnsi="宋体" w:cs="仿宋_GB2312"/>
                <w:color w:val="000000"/>
                <w:kern w:val="0"/>
                <w:sz w:val="24"/>
                <w:szCs w:val="24"/>
                <w:lang w:bidi="ar"/>
              </w:rPr>
              <w:t>兴产业-绿色环保</w:t>
            </w:r>
          </w:p>
          <w:p w14:paraId="46DC764D">
            <w:pPr>
              <w:widowControl/>
              <w:spacing w:before="62" w:after="62"/>
              <w:ind w:firstLine="0" w:firstLineChars="0"/>
              <w:jc w:val="left"/>
            </w:pPr>
            <w:r>
              <w:rPr>
                <w:rFonts w:hint="eastAsia" w:ascii="仿宋_GB2312" w:hAnsi="宋体" w:cs="仿宋_GB2312"/>
                <w:color w:val="000000"/>
                <w:kern w:val="0"/>
                <w:sz w:val="24"/>
                <w:szCs w:val="24"/>
                <w:lang w:bidi="ar"/>
              </w:rPr>
              <w:t>2.强国建设-美丽中国</w:t>
            </w:r>
          </w:p>
          <w:p w14:paraId="12B34F01">
            <w:pPr>
              <w:spacing w:before="0" w:beforeLines="0" w:after="0" w:afterLines="0" w:line="240" w:lineRule="auto"/>
              <w:ind w:firstLine="480"/>
              <w:jc w:val="center"/>
              <w:rPr>
                <w:sz w:val="24"/>
                <w:szCs w:val="24"/>
              </w:rPr>
            </w:pPr>
          </w:p>
        </w:tc>
        <w:tc>
          <w:tcPr>
            <w:tcW w:w="2516" w:type="dxa"/>
            <w:gridSpan w:val="2"/>
            <w:vMerge w:val="restart"/>
            <w:vAlign w:val="center"/>
          </w:tcPr>
          <w:p w14:paraId="03EA837A">
            <w:pPr>
              <w:widowControl/>
              <w:spacing w:before="62" w:after="62"/>
              <w:ind w:firstLine="0" w:firstLineChars="0"/>
              <w:jc w:val="left"/>
            </w:pPr>
            <w:r>
              <w:rPr>
                <w:rFonts w:ascii="仿宋_GB2312" w:hAnsi="宋体" w:cs="仿宋_GB2312"/>
                <w:color w:val="000000"/>
                <w:kern w:val="0"/>
                <w:sz w:val="24"/>
                <w:szCs w:val="24"/>
                <w:lang w:bidi="ar"/>
              </w:rPr>
              <w:t>园林绿化</w:t>
            </w:r>
            <w:r>
              <w:rPr>
                <w:rFonts w:hint="eastAsia" w:ascii="仿宋_GB2312" w:hAnsi="宋体" w:cs="仿宋_GB2312"/>
                <w:color w:val="000000"/>
                <w:kern w:val="0"/>
                <w:sz w:val="24"/>
                <w:szCs w:val="24"/>
                <w:lang w:bidi="ar"/>
              </w:rPr>
              <w:t>工程技术等</w:t>
            </w:r>
          </w:p>
          <w:p w14:paraId="56C295F1">
            <w:pPr>
              <w:spacing w:before="0" w:beforeLines="0" w:after="0" w:afterLines="0" w:line="240" w:lineRule="auto"/>
              <w:ind w:firstLine="480"/>
              <w:jc w:val="center"/>
              <w:rPr>
                <w:sz w:val="24"/>
                <w:szCs w:val="24"/>
              </w:rPr>
            </w:pPr>
          </w:p>
        </w:tc>
        <w:tc>
          <w:tcPr>
            <w:tcW w:w="4683" w:type="dxa"/>
            <w:vAlign w:val="center"/>
          </w:tcPr>
          <w:p w14:paraId="01FF285B">
            <w:pPr>
              <w:spacing w:before="0" w:beforeLines="0" w:after="0" w:afterLines="0" w:line="240" w:lineRule="auto"/>
              <w:ind w:firstLine="0" w:firstLineChars="0"/>
              <w:jc w:val="left"/>
              <w:rPr>
                <w:sz w:val="24"/>
                <w:szCs w:val="24"/>
              </w:rPr>
            </w:pPr>
            <w:r>
              <w:rPr>
                <w:rFonts w:hint="eastAsia"/>
                <w:sz w:val="24"/>
                <w:szCs w:val="24"/>
              </w:rPr>
              <w:t>具有开展绿色生产、环境保护、安全生产的基本能力。</w:t>
            </w:r>
          </w:p>
        </w:tc>
      </w:tr>
      <w:tr w14:paraId="7FED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2352A21B">
            <w:pPr>
              <w:spacing w:before="0" w:beforeLines="0" w:after="0" w:afterLines="0" w:line="240" w:lineRule="auto"/>
              <w:ind w:firstLine="480"/>
              <w:jc w:val="center"/>
              <w:rPr>
                <w:sz w:val="24"/>
                <w:szCs w:val="24"/>
              </w:rPr>
            </w:pPr>
          </w:p>
        </w:tc>
        <w:tc>
          <w:tcPr>
            <w:tcW w:w="2516" w:type="dxa"/>
            <w:gridSpan w:val="2"/>
            <w:vMerge w:val="continue"/>
            <w:vAlign w:val="center"/>
          </w:tcPr>
          <w:p w14:paraId="3421A7BF">
            <w:pPr>
              <w:spacing w:before="0" w:beforeLines="0" w:after="0" w:afterLines="0" w:line="240" w:lineRule="auto"/>
              <w:ind w:firstLine="480"/>
              <w:jc w:val="center"/>
              <w:rPr>
                <w:sz w:val="24"/>
                <w:szCs w:val="24"/>
              </w:rPr>
            </w:pPr>
          </w:p>
        </w:tc>
        <w:tc>
          <w:tcPr>
            <w:tcW w:w="4683" w:type="dxa"/>
            <w:vAlign w:val="center"/>
          </w:tcPr>
          <w:p w14:paraId="0A2D1E3C">
            <w:pPr>
              <w:spacing w:before="0" w:beforeLines="0" w:after="0" w:afterLines="0" w:line="240" w:lineRule="auto"/>
              <w:ind w:firstLine="0" w:firstLineChars="0"/>
              <w:rPr>
                <w:sz w:val="24"/>
                <w:szCs w:val="24"/>
              </w:rPr>
            </w:pPr>
            <w:r>
              <w:rPr>
                <w:rFonts w:hint="eastAsia"/>
                <w:sz w:val="24"/>
                <w:szCs w:val="24"/>
              </w:rPr>
              <w:t>具有园林植物识别与栽培、计算机辅助设计、园林手绘、园林测绘、园林设计、园林工程施工等专业技能。</w:t>
            </w:r>
          </w:p>
        </w:tc>
      </w:tr>
      <w:tr w14:paraId="177E9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323" w:type="dxa"/>
            <w:vMerge w:val="continue"/>
            <w:vAlign w:val="center"/>
          </w:tcPr>
          <w:p w14:paraId="5A49B929">
            <w:pPr>
              <w:spacing w:before="0" w:beforeLines="0" w:after="0" w:afterLines="0" w:line="240" w:lineRule="auto"/>
              <w:ind w:firstLine="480"/>
              <w:jc w:val="center"/>
              <w:rPr>
                <w:sz w:val="24"/>
                <w:szCs w:val="24"/>
              </w:rPr>
            </w:pPr>
          </w:p>
        </w:tc>
        <w:tc>
          <w:tcPr>
            <w:tcW w:w="2516" w:type="dxa"/>
            <w:gridSpan w:val="2"/>
            <w:vMerge w:val="continue"/>
            <w:vAlign w:val="center"/>
          </w:tcPr>
          <w:p w14:paraId="59513096">
            <w:pPr>
              <w:spacing w:before="0" w:beforeLines="0" w:after="0" w:afterLines="0" w:line="240" w:lineRule="auto"/>
              <w:ind w:firstLine="480"/>
              <w:jc w:val="center"/>
              <w:rPr>
                <w:sz w:val="24"/>
                <w:szCs w:val="24"/>
              </w:rPr>
            </w:pPr>
          </w:p>
        </w:tc>
        <w:tc>
          <w:tcPr>
            <w:tcW w:w="4683" w:type="dxa"/>
            <w:vAlign w:val="center"/>
          </w:tcPr>
          <w:p w14:paraId="1AC1CA67">
            <w:pPr>
              <w:spacing w:before="0" w:beforeLines="0" w:after="0" w:afterLines="0" w:line="240" w:lineRule="auto"/>
              <w:ind w:firstLine="0" w:firstLineChars="0"/>
              <w:rPr>
                <w:sz w:val="24"/>
                <w:szCs w:val="24"/>
              </w:rPr>
            </w:pPr>
            <w:r>
              <w:rPr>
                <w:rFonts w:hint="eastAsia"/>
                <w:sz w:val="24"/>
                <w:szCs w:val="24"/>
              </w:rPr>
              <w:t>具有园林绿化施工等领域相关数字技术和信息技术的应用能力。</w:t>
            </w:r>
          </w:p>
        </w:tc>
      </w:tr>
      <w:tr w14:paraId="5444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6E9CF5C1">
            <w:pPr>
              <w:spacing w:before="0" w:beforeLines="0" w:after="0" w:afterLines="0" w:line="240" w:lineRule="auto"/>
              <w:ind w:firstLine="480"/>
              <w:jc w:val="center"/>
              <w:rPr>
                <w:sz w:val="24"/>
                <w:szCs w:val="24"/>
              </w:rPr>
            </w:pPr>
          </w:p>
        </w:tc>
        <w:tc>
          <w:tcPr>
            <w:tcW w:w="2516" w:type="dxa"/>
            <w:gridSpan w:val="2"/>
            <w:vMerge w:val="restart"/>
            <w:vAlign w:val="center"/>
          </w:tcPr>
          <w:p w14:paraId="168CD9B0">
            <w:pPr>
              <w:spacing w:before="0" w:beforeLines="0" w:after="0" w:afterLines="0" w:line="240" w:lineRule="auto"/>
              <w:ind w:firstLine="0" w:firstLineChars="0"/>
              <w:rPr>
                <w:sz w:val="24"/>
                <w:szCs w:val="24"/>
              </w:rPr>
            </w:pPr>
            <w:r>
              <w:rPr>
                <w:rFonts w:hint="eastAsia"/>
                <w:sz w:val="24"/>
                <w:szCs w:val="24"/>
              </w:rPr>
              <w:t>综合性园林工程施工与管理</w:t>
            </w:r>
          </w:p>
          <w:p w14:paraId="3487F00F">
            <w:pPr>
              <w:spacing w:before="0" w:beforeLines="0" w:after="0" w:afterLines="0" w:line="240" w:lineRule="auto"/>
              <w:ind w:firstLine="0" w:firstLineChars="0"/>
              <w:rPr>
                <w:sz w:val="24"/>
                <w:szCs w:val="24"/>
              </w:rPr>
            </w:pPr>
          </w:p>
        </w:tc>
        <w:tc>
          <w:tcPr>
            <w:tcW w:w="4683" w:type="dxa"/>
            <w:vAlign w:val="center"/>
          </w:tcPr>
          <w:p w14:paraId="5E112EFD">
            <w:pPr>
              <w:spacing w:before="0" w:beforeLines="0" w:after="0" w:afterLines="0" w:line="240" w:lineRule="auto"/>
              <w:ind w:firstLine="0" w:firstLineChars="0"/>
              <w:rPr>
                <w:sz w:val="24"/>
                <w:szCs w:val="24"/>
              </w:rPr>
            </w:pPr>
            <w:r>
              <w:rPr>
                <w:rFonts w:hint="eastAsia"/>
                <w:sz w:val="24"/>
                <w:szCs w:val="24"/>
              </w:rPr>
              <w:t>具有绿色生产、环境保护、安全生产的基本能力，具有熟悉相关专业法律法规、依法从事工作的能力。</w:t>
            </w:r>
          </w:p>
        </w:tc>
      </w:tr>
      <w:tr w14:paraId="7B45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622D8A5A">
            <w:pPr>
              <w:spacing w:before="0" w:beforeLines="0" w:after="0" w:afterLines="0" w:line="240" w:lineRule="auto"/>
              <w:ind w:firstLine="480"/>
              <w:jc w:val="center"/>
              <w:rPr>
                <w:sz w:val="24"/>
                <w:szCs w:val="24"/>
              </w:rPr>
            </w:pPr>
          </w:p>
        </w:tc>
        <w:tc>
          <w:tcPr>
            <w:tcW w:w="2516" w:type="dxa"/>
            <w:gridSpan w:val="2"/>
            <w:vMerge w:val="continue"/>
            <w:vAlign w:val="center"/>
          </w:tcPr>
          <w:p w14:paraId="082182E1">
            <w:pPr>
              <w:spacing w:before="0" w:beforeLines="0" w:after="0" w:afterLines="0" w:line="240" w:lineRule="auto"/>
              <w:ind w:firstLine="480"/>
              <w:jc w:val="center"/>
              <w:rPr>
                <w:sz w:val="24"/>
                <w:szCs w:val="24"/>
              </w:rPr>
            </w:pPr>
          </w:p>
        </w:tc>
        <w:tc>
          <w:tcPr>
            <w:tcW w:w="4683" w:type="dxa"/>
            <w:vAlign w:val="center"/>
          </w:tcPr>
          <w:p w14:paraId="08A69F99">
            <w:pPr>
              <w:spacing w:before="0" w:beforeLines="0" w:after="0" w:afterLines="0" w:line="240" w:lineRule="auto"/>
              <w:ind w:firstLine="0" w:firstLineChars="0"/>
              <w:rPr>
                <w:sz w:val="24"/>
                <w:szCs w:val="24"/>
              </w:rPr>
            </w:pPr>
            <w:r>
              <w:rPr>
                <w:rFonts w:hint="eastAsia"/>
                <w:sz w:val="24"/>
                <w:szCs w:val="24"/>
              </w:rPr>
              <w:t>具有计算机辅助设计、园林工程设计的能力。</w:t>
            </w:r>
          </w:p>
        </w:tc>
      </w:tr>
      <w:tr w14:paraId="29F0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310DDA42">
            <w:pPr>
              <w:spacing w:before="0" w:beforeLines="0" w:after="0" w:afterLines="0" w:line="240" w:lineRule="auto"/>
              <w:ind w:firstLine="480"/>
              <w:jc w:val="center"/>
              <w:rPr>
                <w:sz w:val="24"/>
                <w:szCs w:val="24"/>
              </w:rPr>
            </w:pPr>
          </w:p>
        </w:tc>
        <w:tc>
          <w:tcPr>
            <w:tcW w:w="2516" w:type="dxa"/>
            <w:gridSpan w:val="2"/>
            <w:vMerge w:val="continue"/>
            <w:vAlign w:val="center"/>
          </w:tcPr>
          <w:p w14:paraId="7B7AEE9D">
            <w:pPr>
              <w:spacing w:before="0" w:beforeLines="0" w:after="0" w:afterLines="0" w:line="240" w:lineRule="auto"/>
              <w:ind w:firstLine="0" w:firstLineChars="0"/>
              <w:rPr>
                <w:sz w:val="24"/>
                <w:szCs w:val="24"/>
              </w:rPr>
            </w:pPr>
          </w:p>
        </w:tc>
        <w:tc>
          <w:tcPr>
            <w:tcW w:w="4683" w:type="dxa"/>
            <w:vAlign w:val="center"/>
          </w:tcPr>
          <w:p w14:paraId="3620F8AB">
            <w:pPr>
              <w:spacing w:before="0" w:beforeLines="0" w:after="0" w:afterLines="0" w:line="240" w:lineRule="auto"/>
              <w:ind w:firstLine="0" w:firstLineChars="0"/>
              <w:rPr>
                <w:sz w:val="24"/>
                <w:szCs w:val="24"/>
              </w:rPr>
            </w:pPr>
            <w:r>
              <w:rPr>
                <w:rFonts w:hint="eastAsia"/>
                <w:sz w:val="24"/>
                <w:szCs w:val="24"/>
              </w:rPr>
              <w:t xml:space="preserve">具有应用地理信息系统技术进行测绘的能力。 </w:t>
            </w:r>
          </w:p>
        </w:tc>
      </w:tr>
      <w:tr w14:paraId="1D38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0B72EF2F">
            <w:pPr>
              <w:spacing w:before="0" w:beforeLines="0" w:after="0" w:afterLines="0" w:line="240" w:lineRule="auto"/>
              <w:ind w:firstLine="480"/>
              <w:jc w:val="center"/>
              <w:rPr>
                <w:sz w:val="24"/>
                <w:szCs w:val="24"/>
              </w:rPr>
            </w:pPr>
          </w:p>
        </w:tc>
        <w:tc>
          <w:tcPr>
            <w:tcW w:w="2516" w:type="dxa"/>
            <w:gridSpan w:val="2"/>
            <w:vMerge w:val="restart"/>
            <w:vAlign w:val="center"/>
          </w:tcPr>
          <w:p w14:paraId="534E8D34">
            <w:pPr>
              <w:spacing w:before="0" w:beforeLines="0" w:after="0" w:afterLines="0" w:line="240" w:lineRule="auto"/>
              <w:ind w:firstLine="0" w:firstLineChars="0"/>
              <w:rPr>
                <w:sz w:val="24"/>
                <w:szCs w:val="24"/>
              </w:rPr>
            </w:pPr>
            <w:r>
              <w:rPr>
                <w:rFonts w:hint="eastAsia"/>
                <w:sz w:val="24"/>
                <w:szCs w:val="24"/>
              </w:rPr>
              <w:t>生态修复工程设计与施工</w:t>
            </w:r>
          </w:p>
        </w:tc>
        <w:tc>
          <w:tcPr>
            <w:tcW w:w="4683" w:type="dxa"/>
            <w:vAlign w:val="center"/>
          </w:tcPr>
          <w:p w14:paraId="078BE766">
            <w:pPr>
              <w:spacing w:before="0" w:beforeLines="0" w:after="0" w:afterLines="0" w:line="240" w:lineRule="auto"/>
              <w:ind w:firstLine="0" w:firstLineChars="0"/>
              <w:rPr>
                <w:sz w:val="24"/>
                <w:szCs w:val="24"/>
              </w:rPr>
            </w:pPr>
            <w:r>
              <w:rPr>
                <w:rFonts w:hint="eastAsia"/>
                <w:sz w:val="24"/>
                <w:szCs w:val="24"/>
              </w:rPr>
              <w:t>具有综合性园林工程、生态修复工程等施工技术与信息管理的能力。</w:t>
            </w:r>
          </w:p>
        </w:tc>
      </w:tr>
      <w:tr w14:paraId="3C4F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2C590F98">
            <w:pPr>
              <w:spacing w:before="0" w:beforeLines="0" w:after="0" w:afterLines="0" w:line="240" w:lineRule="auto"/>
              <w:ind w:firstLine="480"/>
              <w:jc w:val="center"/>
              <w:rPr>
                <w:sz w:val="24"/>
                <w:szCs w:val="24"/>
              </w:rPr>
            </w:pPr>
          </w:p>
        </w:tc>
        <w:tc>
          <w:tcPr>
            <w:tcW w:w="2516" w:type="dxa"/>
            <w:gridSpan w:val="2"/>
            <w:vMerge w:val="continue"/>
            <w:vAlign w:val="center"/>
          </w:tcPr>
          <w:p w14:paraId="6FB81268">
            <w:pPr>
              <w:spacing w:before="0" w:beforeLines="0" w:after="0" w:afterLines="0" w:line="240" w:lineRule="auto"/>
              <w:ind w:firstLine="480"/>
              <w:jc w:val="center"/>
              <w:rPr>
                <w:sz w:val="24"/>
                <w:szCs w:val="24"/>
              </w:rPr>
            </w:pPr>
          </w:p>
        </w:tc>
        <w:tc>
          <w:tcPr>
            <w:tcW w:w="4683" w:type="dxa"/>
            <w:vAlign w:val="center"/>
          </w:tcPr>
          <w:p w14:paraId="03A717F8">
            <w:pPr>
              <w:spacing w:before="0" w:beforeLines="0" w:after="0" w:afterLines="0" w:line="240" w:lineRule="auto"/>
              <w:ind w:firstLine="0" w:firstLineChars="0"/>
              <w:rPr>
                <w:sz w:val="24"/>
                <w:szCs w:val="24"/>
              </w:rPr>
            </w:pPr>
            <w:r>
              <w:rPr>
                <w:rFonts w:hint="eastAsia"/>
                <w:sz w:val="24"/>
                <w:szCs w:val="24"/>
              </w:rPr>
              <w:t xml:space="preserve">具有园林树木、园林建筑、园林道路、园林设施等维护与安全检测的能力。 </w:t>
            </w:r>
          </w:p>
        </w:tc>
      </w:tr>
      <w:tr w14:paraId="711B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23" w:type="dxa"/>
            <w:vMerge w:val="continue"/>
            <w:vAlign w:val="center"/>
          </w:tcPr>
          <w:p w14:paraId="483F736F">
            <w:pPr>
              <w:spacing w:before="0" w:beforeLines="0" w:after="0" w:afterLines="0" w:line="240" w:lineRule="auto"/>
              <w:ind w:firstLine="480"/>
              <w:jc w:val="center"/>
              <w:rPr>
                <w:sz w:val="24"/>
                <w:szCs w:val="24"/>
              </w:rPr>
            </w:pPr>
          </w:p>
        </w:tc>
        <w:tc>
          <w:tcPr>
            <w:tcW w:w="2516" w:type="dxa"/>
            <w:gridSpan w:val="2"/>
            <w:vMerge w:val="continue"/>
            <w:vAlign w:val="center"/>
          </w:tcPr>
          <w:p w14:paraId="453C35D3">
            <w:pPr>
              <w:spacing w:before="0" w:beforeLines="0" w:after="0" w:afterLines="0" w:line="240" w:lineRule="auto"/>
              <w:ind w:firstLine="480"/>
              <w:jc w:val="center"/>
              <w:rPr>
                <w:sz w:val="24"/>
                <w:szCs w:val="24"/>
              </w:rPr>
            </w:pPr>
          </w:p>
        </w:tc>
        <w:tc>
          <w:tcPr>
            <w:tcW w:w="4683" w:type="dxa"/>
            <w:vAlign w:val="center"/>
          </w:tcPr>
          <w:p w14:paraId="31E9CAF3">
            <w:pPr>
              <w:spacing w:before="0" w:beforeLines="0" w:after="0" w:afterLines="0" w:line="240" w:lineRule="auto"/>
              <w:ind w:firstLine="0" w:firstLineChars="0"/>
              <w:rPr>
                <w:sz w:val="24"/>
                <w:szCs w:val="24"/>
              </w:rPr>
            </w:pPr>
            <w:r>
              <w:rPr>
                <w:rFonts w:hint="eastAsia"/>
                <w:sz w:val="24"/>
                <w:szCs w:val="24"/>
              </w:rPr>
              <w:t>具有探究学习、终身学习和可持续发展的能力。</w:t>
            </w:r>
          </w:p>
        </w:tc>
      </w:tr>
    </w:tbl>
    <w:p w14:paraId="4D619754">
      <w:pPr>
        <w:snapToGrid w:val="0"/>
        <w:spacing w:before="62" w:after="62" w:line="560" w:lineRule="exact"/>
        <w:ind w:firstLine="0" w:firstLineChars="0"/>
        <w:rPr>
          <w:sz w:val="30"/>
          <w:szCs w:val="30"/>
        </w:rPr>
      </w:pPr>
      <w:r>
        <w:rPr>
          <w:rFonts w:hint="eastAsia"/>
          <w:sz w:val="30"/>
          <w:szCs w:val="30"/>
        </w:rPr>
        <w:t>二、竞赛目标</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14:paraId="293E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6" w:hRule="atLeast"/>
        </w:trPr>
        <w:tc>
          <w:tcPr>
            <w:tcW w:w="8319" w:type="dxa"/>
          </w:tcPr>
          <w:p w14:paraId="33F74A75">
            <w:pPr>
              <w:spacing w:before="62" w:after="62" w:line="480" w:lineRule="auto"/>
              <w:ind w:firstLine="480"/>
              <w:rPr>
                <w:rFonts w:hint="eastAsia" w:ascii="黑体" w:hAnsi="黑体" w:eastAsia="黑体" w:cs="黑体"/>
                <w:sz w:val="24"/>
                <w:szCs w:val="24"/>
              </w:rPr>
            </w:pPr>
            <w:r>
              <w:rPr>
                <w:rFonts w:ascii="黑体" w:hAnsi="黑体" w:eastAsia="黑体" w:cs="黑体"/>
                <w:sz w:val="24"/>
                <w:szCs w:val="24"/>
              </w:rPr>
              <w:t>为深入贯彻落实《国家职业教育改革实施方案》及全国职业教育大会精神，适应园林景观行业生态化、智能化、多功能化的发展趋势，特举办本赛项。比赛旨在通过“以赛促教、以赛促学、以赛促改”的方式，实现以下核心目标：</w:t>
            </w:r>
            <w:r>
              <w:rPr>
                <w:rFonts w:hint="eastAsia" w:ascii="黑体" w:hAnsi="黑体" w:eastAsia="黑体" w:cs="黑体"/>
                <w:sz w:val="24"/>
                <w:szCs w:val="24"/>
              </w:rPr>
              <w:t xml:space="preserve">           </w:t>
            </w:r>
          </w:p>
          <w:p w14:paraId="30F03549">
            <w:pPr>
              <w:spacing w:before="62" w:after="62" w:line="480" w:lineRule="auto"/>
              <w:ind w:firstLine="480"/>
              <w:rPr>
                <w:rFonts w:hint="eastAsia" w:ascii="黑体" w:hAnsi="黑体" w:eastAsia="黑体" w:cs="黑体"/>
                <w:sz w:val="24"/>
                <w:szCs w:val="24"/>
              </w:rPr>
            </w:pPr>
            <w:r>
              <w:rPr>
                <w:rFonts w:hint="eastAsia" w:ascii="黑体" w:hAnsi="黑体" w:eastAsia="黑体" w:cs="黑体"/>
                <w:sz w:val="24"/>
                <w:szCs w:val="24"/>
              </w:rPr>
              <w:t>1.</w:t>
            </w:r>
            <w:r>
              <w:rPr>
                <w:rFonts w:ascii="黑体" w:hAnsi="黑体" w:eastAsia="黑体" w:cs="黑体"/>
                <w:sz w:val="24"/>
                <w:szCs w:val="24"/>
              </w:rPr>
              <w:t>技能提升与</w:t>
            </w:r>
            <w:r>
              <w:rPr>
                <w:rFonts w:hint="eastAsia" w:ascii="黑体" w:hAnsi="黑体" w:eastAsia="黑体" w:cs="黑体"/>
                <w:sz w:val="24"/>
                <w:szCs w:val="24"/>
              </w:rPr>
              <w:t>产教融合</w:t>
            </w:r>
          </w:p>
          <w:p w14:paraId="0A38EFA4">
            <w:pPr>
              <w:spacing w:before="62" w:after="62" w:line="480" w:lineRule="auto"/>
              <w:ind w:firstLine="480"/>
              <w:rPr>
                <w:rFonts w:hint="eastAsia" w:ascii="黑体" w:hAnsi="黑体" w:eastAsia="黑体" w:cs="黑体"/>
                <w:sz w:val="24"/>
                <w:szCs w:val="24"/>
              </w:rPr>
            </w:pPr>
            <w:r>
              <w:rPr>
                <w:rFonts w:ascii="黑体" w:hAnsi="黑体" w:eastAsia="黑体" w:cs="黑体"/>
                <w:sz w:val="24"/>
                <w:szCs w:val="24"/>
              </w:rPr>
              <w:t>聚焦园林景观设计与施工全流程，考核选手创新设计能力、施工</w:t>
            </w:r>
            <w:r>
              <w:rPr>
                <w:rFonts w:hint="eastAsia" w:ascii="黑体" w:hAnsi="黑体" w:eastAsia="黑体" w:cs="黑体"/>
                <w:sz w:val="24"/>
                <w:szCs w:val="24"/>
              </w:rPr>
              <w:t>规范</w:t>
            </w:r>
            <w:r>
              <w:rPr>
                <w:rFonts w:ascii="黑体" w:hAnsi="黑体" w:eastAsia="黑体" w:cs="黑体"/>
                <w:sz w:val="24"/>
                <w:szCs w:val="24"/>
              </w:rPr>
              <w:t>操作及</w:t>
            </w:r>
            <w:r>
              <w:rPr>
                <w:rFonts w:hint="eastAsia" w:ascii="黑体" w:hAnsi="黑体" w:eastAsia="黑体" w:cs="黑体"/>
                <w:sz w:val="24"/>
                <w:szCs w:val="24"/>
              </w:rPr>
              <w:t>新</w:t>
            </w:r>
            <w:r>
              <w:rPr>
                <w:rFonts w:ascii="黑体" w:hAnsi="黑体" w:eastAsia="黑体" w:cs="黑体"/>
                <w:sz w:val="24"/>
                <w:szCs w:val="24"/>
              </w:rPr>
              <w:t>材料</w:t>
            </w:r>
            <w:r>
              <w:rPr>
                <w:rFonts w:hint="eastAsia" w:ascii="黑体" w:hAnsi="黑体" w:eastAsia="黑体" w:cs="黑体"/>
                <w:sz w:val="24"/>
                <w:szCs w:val="24"/>
              </w:rPr>
              <w:t>、新技术</w:t>
            </w:r>
            <w:r>
              <w:rPr>
                <w:rFonts w:ascii="黑体" w:hAnsi="黑体" w:eastAsia="黑体" w:cs="黑体"/>
                <w:sz w:val="24"/>
                <w:szCs w:val="24"/>
              </w:rPr>
              <w:t>应用等核心技能。对接《园林绿化工</w:t>
            </w:r>
            <w:r>
              <w:rPr>
                <w:rFonts w:hint="eastAsia" w:ascii="黑体" w:hAnsi="黑体" w:eastAsia="黑体" w:cs="黑体"/>
                <w:sz w:val="24"/>
                <w:szCs w:val="24"/>
              </w:rPr>
              <w:t>国家</w:t>
            </w:r>
            <w:r>
              <w:rPr>
                <w:rFonts w:ascii="黑体" w:hAnsi="黑体" w:eastAsia="黑体" w:cs="黑体"/>
                <w:sz w:val="24"/>
                <w:szCs w:val="24"/>
              </w:rPr>
              <w:t>职业技能标准》，强化选手对行业标准、安全生产及环境保护的规范意识，培养符合行业需求的高素质技术技能人才。</w:t>
            </w:r>
            <w:r>
              <w:rPr>
                <w:rFonts w:hint="eastAsia" w:ascii="黑体" w:hAnsi="黑体" w:eastAsia="黑体" w:cs="黑体"/>
                <w:sz w:val="24"/>
                <w:szCs w:val="24"/>
              </w:rPr>
              <w:t>充分发挥大赛对职业学校专业建设和教学改革的牵引作用，积极助力产教融合机制创新。</w:t>
            </w:r>
          </w:p>
          <w:p w14:paraId="454E09F2">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2.</w:t>
            </w:r>
            <w:r>
              <w:rPr>
                <w:rFonts w:ascii="黑体" w:hAnsi="黑体" w:eastAsia="黑体" w:cs="黑体"/>
                <w:sz w:val="24"/>
                <w:szCs w:val="24"/>
              </w:rPr>
              <w:t>职业素养与工匠精神培育</w:t>
            </w:r>
          </w:p>
          <w:p w14:paraId="5DE05890">
            <w:pPr>
              <w:spacing w:before="0" w:beforeLines="0" w:after="0" w:afterLines="0" w:line="480" w:lineRule="auto"/>
              <w:ind w:firstLine="480"/>
              <w:rPr>
                <w:rFonts w:hint="eastAsia" w:ascii="黑体" w:hAnsi="黑体" w:eastAsia="黑体" w:cs="黑体"/>
                <w:sz w:val="24"/>
                <w:szCs w:val="24"/>
              </w:rPr>
            </w:pPr>
            <w:r>
              <w:rPr>
                <w:rFonts w:ascii="黑体" w:hAnsi="黑体" w:eastAsia="黑体" w:cs="黑体"/>
                <w:sz w:val="24"/>
                <w:szCs w:val="24"/>
              </w:rPr>
              <w:t>强化选手的团队协作能力、现场问题解决能力及精益求精的工匠精神。通过限时施工</w:t>
            </w:r>
            <w:r>
              <w:rPr>
                <w:rFonts w:hint="eastAsia" w:ascii="黑体" w:hAnsi="黑体" w:eastAsia="黑体" w:cs="黑体"/>
                <w:sz w:val="24"/>
                <w:szCs w:val="24"/>
              </w:rPr>
              <w:t>、讲解</w:t>
            </w:r>
            <w:r>
              <w:rPr>
                <w:rFonts w:ascii="黑体" w:hAnsi="黑体" w:eastAsia="黑体" w:cs="黑体"/>
                <w:sz w:val="24"/>
                <w:szCs w:val="24"/>
              </w:rPr>
              <w:t>等环节，培养选手严谨细致的工作态度和安全规范的操作习惯，提升其职业责任感与综合素养。</w:t>
            </w:r>
          </w:p>
          <w:p w14:paraId="02B26961">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3.</w:t>
            </w:r>
            <w:r>
              <w:rPr>
                <w:rFonts w:ascii="黑体" w:hAnsi="黑体" w:eastAsia="黑体" w:cs="黑体"/>
                <w:sz w:val="24"/>
                <w:szCs w:val="24"/>
              </w:rPr>
              <w:t>行业交流与成果转化</w:t>
            </w:r>
          </w:p>
          <w:p w14:paraId="11815248">
            <w:pPr>
              <w:spacing w:before="0" w:beforeLines="0" w:after="0" w:afterLines="0" w:line="480" w:lineRule="auto"/>
              <w:ind w:firstLine="480"/>
            </w:pPr>
            <w:r>
              <w:rPr>
                <w:rFonts w:ascii="黑体" w:hAnsi="黑体" w:eastAsia="黑体" w:cs="黑体"/>
                <w:sz w:val="24"/>
                <w:szCs w:val="24"/>
              </w:rPr>
              <w:t>搭建全</w:t>
            </w:r>
            <w:r>
              <w:rPr>
                <w:rFonts w:hint="eastAsia" w:ascii="黑体" w:hAnsi="黑体" w:eastAsia="黑体" w:cs="黑体"/>
                <w:sz w:val="24"/>
                <w:szCs w:val="24"/>
              </w:rPr>
              <w:t>省</w:t>
            </w:r>
            <w:r>
              <w:rPr>
                <w:rFonts w:ascii="黑体" w:hAnsi="黑体" w:eastAsia="黑体" w:cs="黑体"/>
                <w:sz w:val="24"/>
                <w:szCs w:val="24"/>
              </w:rPr>
              <w:t>职业院校园林技术专业</w:t>
            </w:r>
            <w:r>
              <w:rPr>
                <w:rFonts w:hint="eastAsia" w:ascii="黑体" w:hAnsi="黑体" w:eastAsia="黑体" w:cs="黑体"/>
                <w:sz w:val="24"/>
                <w:szCs w:val="24"/>
              </w:rPr>
              <w:t>、风景园林设计专业、园林工程技术专业以及环境艺术设计专业</w:t>
            </w:r>
            <w:r>
              <w:rPr>
                <w:rFonts w:ascii="黑体" w:hAnsi="黑体" w:eastAsia="黑体" w:cs="黑体"/>
                <w:sz w:val="24"/>
                <w:szCs w:val="24"/>
              </w:rPr>
              <w:t>的交流平台，促进教学经验分享与课程改革</w:t>
            </w:r>
            <w:r>
              <w:rPr>
                <w:rFonts w:hint="eastAsia" w:ascii="黑体" w:hAnsi="黑体" w:eastAsia="黑体" w:cs="黑体"/>
                <w:sz w:val="24"/>
                <w:szCs w:val="24"/>
              </w:rPr>
              <w:t>，</w:t>
            </w:r>
            <w:r>
              <w:rPr>
                <w:rFonts w:ascii="黑体" w:hAnsi="黑体" w:eastAsia="黑体" w:cs="黑体"/>
                <w:sz w:val="24"/>
                <w:szCs w:val="24"/>
              </w:rPr>
              <w:t>为城市更新、乡村振兴等工程提供创新方案，推动竞赛成果向实际应用转化，服务美丽中国建设。</w:t>
            </w:r>
          </w:p>
        </w:tc>
      </w:tr>
    </w:tbl>
    <w:p w14:paraId="576E4215">
      <w:pPr>
        <w:snapToGrid w:val="0"/>
        <w:spacing w:before="62" w:after="62" w:line="560" w:lineRule="exact"/>
        <w:ind w:firstLine="0" w:firstLineChars="0"/>
        <w:rPr>
          <w:sz w:val="30"/>
          <w:szCs w:val="30"/>
        </w:rPr>
      </w:pPr>
      <w:r>
        <w:rPr>
          <w:rFonts w:hint="eastAsia"/>
          <w:sz w:val="30"/>
          <w:szCs w:val="30"/>
        </w:rPr>
        <w:t>三、竞赛内容</w:t>
      </w:r>
    </w:p>
    <w:tbl>
      <w:tblPr>
        <w:tblStyle w:val="8"/>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4455C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3BEA0AB4">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（一）竞赛任务</w:t>
            </w:r>
          </w:p>
          <w:p w14:paraId="1CA96486">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（1）总体要求</w:t>
            </w:r>
          </w:p>
          <w:p w14:paraId="298226F2">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竞赛主题：小型庭院场地景观设计与施工；</w:t>
            </w:r>
          </w:p>
          <w:p w14:paraId="011CE996">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庭院规格：5</w:t>
            </w:r>
            <w:r>
              <w:rPr>
                <w:rFonts w:ascii="黑体" w:hAnsi="黑体" w:eastAsia="黑体" w:cs="黑体"/>
                <w:sz w:val="24"/>
                <w:szCs w:val="24"/>
              </w:rPr>
              <w:t>m</w:t>
            </w:r>
            <w:r>
              <w:rPr>
                <w:rFonts w:hint="eastAsia" w:ascii="黑体" w:hAnsi="黑体" w:eastAsia="黑体" w:cs="黑体"/>
                <w:sz w:val="24"/>
                <w:szCs w:val="24"/>
              </w:rPr>
              <w:t>×6</w:t>
            </w:r>
            <w:r>
              <w:rPr>
                <w:rFonts w:ascii="黑体" w:hAnsi="黑体" w:eastAsia="黑体" w:cs="黑体"/>
                <w:sz w:val="24"/>
                <w:szCs w:val="24"/>
              </w:rPr>
              <w:t xml:space="preserve">m </w:t>
            </w:r>
            <w:r>
              <w:rPr>
                <w:rFonts w:hint="eastAsia" w:ascii="黑体" w:hAnsi="黑体" w:eastAsia="黑体" w:cs="黑体"/>
                <w:sz w:val="24"/>
                <w:szCs w:val="24"/>
              </w:rPr>
              <w:t>的长方形场地。</w:t>
            </w:r>
          </w:p>
          <w:p w14:paraId="4D39C089">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（2）具体任务</w:t>
            </w:r>
          </w:p>
          <w:p w14:paraId="3B9C2595">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比赛整体分为现场施工和现场展示讲解2个模块。</w:t>
            </w:r>
          </w:p>
          <w:p w14:paraId="705A93F3">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①</w:t>
            </w:r>
            <w:r>
              <w:rPr>
                <w:rFonts w:ascii="黑体" w:hAnsi="黑体" w:eastAsia="黑体" w:cs="黑体"/>
                <w:sz w:val="24"/>
                <w:szCs w:val="24"/>
              </w:rPr>
              <w:t xml:space="preserve">4 </w:t>
            </w:r>
            <w:r>
              <w:rPr>
                <w:rFonts w:hint="eastAsia" w:ascii="黑体" w:hAnsi="黑体" w:eastAsia="黑体" w:cs="黑体"/>
                <w:sz w:val="24"/>
                <w:szCs w:val="24"/>
              </w:rPr>
              <w:t>名选手根据比赛指定的场地环境、材料等，依据本团队独立设计的施工图（图纸自带），在3小时内使用工具对指定区域进行造景，并完成木作、铺装、砌筑、水景营造、植物造景等施工任务，各施工任务有机结合在一起构成一件完整的小型庭院景观作品。</w:t>
            </w:r>
          </w:p>
          <w:p w14:paraId="5DEAD4C6">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每位施工团队成员分工使用相应设备完成各项操作，技能操作重点展示专业技能熟练程度、规范程度、解决复杂问题的综合能力以及解决技术难题的创新能力。</w:t>
            </w:r>
          </w:p>
          <w:p w14:paraId="14F1A7BE">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②现场讲解主要介绍总体思路、技能要点、主要成果、项目创新等（赛前准备好，如有辅助讲解材料需拷贝在自带</w:t>
            </w:r>
            <w:r>
              <w:rPr>
                <w:rFonts w:ascii="黑体" w:hAnsi="黑体" w:eastAsia="黑体" w:cs="黑体"/>
                <w:sz w:val="24"/>
                <w:szCs w:val="24"/>
              </w:rPr>
              <w:t xml:space="preserve">U </w:t>
            </w:r>
            <w:r>
              <w:rPr>
                <w:rFonts w:hint="eastAsia" w:ascii="黑体" w:hAnsi="黑体" w:eastAsia="黑体" w:cs="黑体"/>
                <w:sz w:val="24"/>
                <w:szCs w:val="24"/>
              </w:rPr>
              <w:t>盘内）。</w:t>
            </w:r>
          </w:p>
          <w:p w14:paraId="15BCE883">
            <w:pPr>
              <w:spacing w:before="0" w:beforeLines="0" w:after="0" w:afterLines="0" w:line="480" w:lineRule="auto"/>
              <w:ind w:firstLine="480"/>
              <w:rPr>
                <w:rFonts w:hint="default" w:ascii="黑体" w:hAnsi="黑体" w:eastAsia="黑体" w:cs="黑体"/>
                <w:sz w:val="24"/>
                <w:szCs w:val="24"/>
                <w:lang w:val="en-US" w:eastAsia="zh-CN"/>
              </w:rPr>
            </w:pPr>
            <w:r>
              <w:rPr>
                <w:rFonts w:hint="eastAsia" w:ascii="黑体" w:hAnsi="黑体" w:eastAsia="黑体" w:cs="黑体"/>
                <w:sz w:val="24"/>
                <w:szCs w:val="24"/>
              </w:rPr>
              <w:t>③技能操作和展示讲解的顺序不限，可以是先技能后讲解，也可以是先讲解后技能，或者是边技能边讲解均可。</w:t>
            </w:r>
            <w:r>
              <w:rPr>
                <w:rFonts w:hint="eastAsia" w:ascii="黑体" w:hAnsi="黑体" w:eastAsia="黑体" w:cs="黑体"/>
                <w:sz w:val="24"/>
                <w:szCs w:val="24"/>
                <w:lang w:val="en-US" w:eastAsia="zh-CN"/>
              </w:rPr>
              <w:t>不允许团队内有专人进行PPT陈述，每个人必须参与技能测试。</w:t>
            </w:r>
          </w:p>
          <w:p w14:paraId="0B309DD2">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（3）时间要求</w:t>
            </w:r>
          </w:p>
          <w:p w14:paraId="6323258D">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所有参赛选手技能操作时间需超过比赛规定总时间的2/3，现场展示讲解</w:t>
            </w:r>
            <w:r>
              <w:rPr>
                <w:rFonts w:hint="eastAsia" w:ascii="黑体" w:hAnsi="黑体" w:eastAsia="黑体" w:cs="黑体"/>
                <w:sz w:val="24"/>
                <w:szCs w:val="24"/>
                <w:lang w:val="en-US" w:eastAsia="zh-CN"/>
              </w:rPr>
              <w:t>不</w:t>
            </w:r>
            <w:r>
              <w:rPr>
                <w:rFonts w:hint="eastAsia" w:ascii="黑体" w:hAnsi="黑体" w:eastAsia="黑体" w:cs="黑体"/>
                <w:sz w:val="24"/>
                <w:szCs w:val="24"/>
              </w:rPr>
              <w:t>包括在比赛3小时内，讲解时间为10分钟。提前完成任务，不作为竞赛成绩排名的依据，规定时间外完成的工作不计入竞赛总成绩。</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7"/>
              <w:gridCol w:w="1276"/>
              <w:gridCol w:w="2977"/>
              <w:gridCol w:w="1842"/>
              <w:gridCol w:w="824"/>
            </w:tblGrid>
            <w:tr w14:paraId="37D7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3" w:type="dxa"/>
                  <w:gridSpan w:val="2"/>
                  <w:vAlign w:val="center"/>
                </w:tcPr>
                <w:p w14:paraId="56648F21">
                  <w:pPr>
                    <w:spacing w:before="62" w:after="62"/>
                    <w:ind w:firstLine="480"/>
                    <w:jc w:val="center"/>
                    <w:rPr>
                      <w:rFonts w:hint="eastAsia" w:ascii="黑体" w:hAnsi="黑体" w:eastAsia="黑体" w:cs="黑体"/>
                      <w:sz w:val="24"/>
                      <w:szCs w:val="24"/>
                    </w:rPr>
                  </w:pPr>
                  <w:r>
                    <w:rPr>
                      <w:rFonts w:hint="eastAsia" w:ascii="黑体" w:hAnsi="黑体" w:eastAsia="黑体" w:cs="黑体"/>
                      <w:sz w:val="24"/>
                      <w:szCs w:val="24"/>
                    </w:rPr>
                    <w:t>模块</w:t>
                  </w:r>
                </w:p>
              </w:tc>
              <w:tc>
                <w:tcPr>
                  <w:tcW w:w="2977" w:type="dxa"/>
                  <w:vAlign w:val="center"/>
                </w:tcPr>
                <w:p w14:paraId="6AD3B6F5">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主要内容</w:t>
                  </w:r>
                </w:p>
              </w:tc>
              <w:tc>
                <w:tcPr>
                  <w:tcW w:w="1842" w:type="dxa"/>
                  <w:vAlign w:val="center"/>
                </w:tcPr>
                <w:p w14:paraId="571ECA44">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比赛时长</w:t>
                  </w:r>
                </w:p>
              </w:tc>
              <w:tc>
                <w:tcPr>
                  <w:tcW w:w="824" w:type="dxa"/>
                  <w:vAlign w:val="center"/>
                </w:tcPr>
                <w:p w14:paraId="534276E2">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分值</w:t>
                  </w:r>
                </w:p>
              </w:tc>
            </w:tr>
            <w:tr w14:paraId="2CD5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7" w:type="dxa"/>
                  <w:vAlign w:val="center"/>
                </w:tcPr>
                <w:p w14:paraId="63C879EC">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模块一</w:t>
                  </w:r>
                </w:p>
              </w:tc>
              <w:tc>
                <w:tcPr>
                  <w:tcW w:w="1276" w:type="dxa"/>
                  <w:vAlign w:val="center"/>
                </w:tcPr>
                <w:p w14:paraId="1CFA2E4D">
                  <w:pPr>
                    <w:spacing w:before="62" w:after="62"/>
                    <w:ind w:firstLine="0" w:firstLineChars="0"/>
                    <w:rPr>
                      <w:rFonts w:hint="eastAsia" w:ascii="黑体" w:hAnsi="黑体" w:eastAsia="黑体" w:cs="黑体"/>
                      <w:sz w:val="24"/>
                      <w:szCs w:val="24"/>
                    </w:rPr>
                  </w:pPr>
                  <w:r>
                    <w:rPr>
                      <w:rFonts w:hint="eastAsia" w:ascii="黑体" w:hAnsi="黑体" w:eastAsia="黑体" w:cs="黑体"/>
                      <w:sz w:val="24"/>
                      <w:szCs w:val="24"/>
                    </w:rPr>
                    <w:t>园林景观现场施工</w:t>
                  </w:r>
                </w:p>
              </w:tc>
              <w:tc>
                <w:tcPr>
                  <w:tcW w:w="2977" w:type="dxa"/>
                  <w:vAlign w:val="center"/>
                </w:tcPr>
                <w:p w14:paraId="44CEF21A">
                  <w:pPr>
                    <w:spacing w:before="62" w:after="62"/>
                    <w:ind w:firstLine="0" w:firstLineChars="0"/>
                    <w:rPr>
                      <w:rFonts w:hint="eastAsia" w:ascii="黑体" w:hAnsi="黑体" w:eastAsia="黑体" w:cs="黑体"/>
                      <w:sz w:val="24"/>
                      <w:szCs w:val="24"/>
                    </w:rPr>
                  </w:pPr>
                  <w:r>
                    <w:rPr>
                      <w:rFonts w:hint="eastAsia" w:ascii="黑体" w:hAnsi="黑体" w:eastAsia="黑体" w:cs="黑体"/>
                      <w:sz w:val="24"/>
                      <w:szCs w:val="24"/>
                    </w:rPr>
                    <w:t>按设计图纸施工，完成木作、砌筑、铺装、水景营造、植物造景等施工与管理</w:t>
                  </w:r>
                </w:p>
              </w:tc>
              <w:tc>
                <w:tcPr>
                  <w:tcW w:w="1842" w:type="dxa"/>
                  <w:vAlign w:val="center"/>
                </w:tcPr>
                <w:p w14:paraId="522A96C7">
                  <w:pPr>
                    <w:spacing w:before="62" w:after="62"/>
                    <w:ind w:firstLine="240" w:firstLineChars="100"/>
                    <w:rPr>
                      <w:rFonts w:hint="eastAsia" w:ascii="黑体" w:hAnsi="黑体" w:eastAsia="黑体" w:cs="黑体"/>
                      <w:sz w:val="24"/>
                      <w:szCs w:val="24"/>
                    </w:rPr>
                  </w:pPr>
                  <w:r>
                    <w:rPr>
                      <w:rFonts w:hint="eastAsia" w:ascii="黑体" w:hAnsi="黑体" w:eastAsia="黑体" w:cs="黑体"/>
                      <w:sz w:val="24"/>
                      <w:szCs w:val="24"/>
                    </w:rPr>
                    <w:t>3小时</w:t>
                  </w:r>
                </w:p>
              </w:tc>
              <w:tc>
                <w:tcPr>
                  <w:tcW w:w="824" w:type="dxa"/>
                  <w:vAlign w:val="center"/>
                </w:tcPr>
                <w:p w14:paraId="46E72722">
                  <w:pPr>
                    <w:spacing w:before="62" w:after="62"/>
                    <w:ind w:firstLine="240" w:firstLineChars="100"/>
                    <w:rPr>
                      <w:rFonts w:hint="eastAsia" w:ascii="黑体" w:hAnsi="黑体" w:eastAsia="黑体" w:cs="黑体"/>
                      <w:sz w:val="24"/>
                      <w:szCs w:val="24"/>
                    </w:rPr>
                  </w:pPr>
                  <w:r>
                    <w:rPr>
                      <w:rFonts w:hint="eastAsia" w:ascii="黑体" w:hAnsi="黑体" w:eastAsia="黑体" w:cs="黑体"/>
                      <w:sz w:val="24"/>
                      <w:szCs w:val="24"/>
                    </w:rPr>
                    <w:t>90</w:t>
                  </w:r>
                </w:p>
              </w:tc>
            </w:tr>
            <w:tr w14:paraId="4974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7" w:type="dxa"/>
                  <w:vAlign w:val="center"/>
                </w:tcPr>
                <w:p w14:paraId="09CD2FF2">
                  <w:pPr>
                    <w:spacing w:before="62" w:after="62"/>
                    <w:ind w:firstLine="0" w:firstLineChars="0"/>
                    <w:jc w:val="center"/>
                    <w:rPr>
                      <w:rFonts w:hint="eastAsia" w:ascii="黑体" w:hAnsi="黑体" w:eastAsia="黑体" w:cs="黑体"/>
                      <w:sz w:val="24"/>
                      <w:szCs w:val="24"/>
                    </w:rPr>
                  </w:pPr>
                  <w:r>
                    <w:rPr>
                      <w:rFonts w:hint="eastAsia" w:ascii="黑体" w:hAnsi="黑体" w:eastAsia="黑体" w:cs="黑体"/>
                      <w:sz w:val="24"/>
                      <w:szCs w:val="24"/>
                    </w:rPr>
                    <w:t>模块二</w:t>
                  </w:r>
                </w:p>
              </w:tc>
              <w:tc>
                <w:tcPr>
                  <w:tcW w:w="1276" w:type="dxa"/>
                  <w:vAlign w:val="center"/>
                </w:tcPr>
                <w:p w14:paraId="1FB51628">
                  <w:pPr>
                    <w:spacing w:before="62" w:after="62"/>
                    <w:ind w:firstLine="0" w:firstLineChars="0"/>
                    <w:rPr>
                      <w:rFonts w:hint="eastAsia" w:ascii="黑体" w:hAnsi="黑体" w:eastAsia="黑体" w:cs="黑体"/>
                      <w:sz w:val="24"/>
                      <w:szCs w:val="24"/>
                    </w:rPr>
                  </w:pPr>
                  <w:r>
                    <w:rPr>
                      <w:rFonts w:hint="eastAsia" w:ascii="黑体" w:hAnsi="黑体" w:eastAsia="黑体" w:cs="黑体"/>
                      <w:sz w:val="24"/>
                      <w:szCs w:val="24"/>
                    </w:rPr>
                    <w:t>园林景观现场讲解</w:t>
                  </w:r>
                </w:p>
              </w:tc>
              <w:tc>
                <w:tcPr>
                  <w:tcW w:w="2977" w:type="dxa"/>
                  <w:vAlign w:val="center"/>
                </w:tcPr>
                <w:p w14:paraId="011FBBB3">
                  <w:pPr>
                    <w:spacing w:before="62" w:after="62"/>
                    <w:ind w:firstLine="0" w:firstLineChars="0"/>
                    <w:rPr>
                      <w:rFonts w:hint="eastAsia" w:ascii="黑体" w:hAnsi="黑体" w:eastAsia="黑体" w:cs="黑体"/>
                      <w:sz w:val="24"/>
                      <w:szCs w:val="24"/>
                    </w:rPr>
                  </w:pPr>
                  <w:r>
                    <w:rPr>
                      <w:rFonts w:hint="eastAsia" w:ascii="黑体" w:hAnsi="黑体" w:eastAsia="黑体" w:cs="黑体"/>
                      <w:sz w:val="24"/>
                      <w:szCs w:val="24"/>
                    </w:rPr>
                    <w:t>依据赛项工作任务，主要介绍总体思路、技能要点、主要成果、项目创新等。</w:t>
                  </w:r>
                </w:p>
              </w:tc>
              <w:tc>
                <w:tcPr>
                  <w:tcW w:w="1842" w:type="dxa"/>
                  <w:vAlign w:val="center"/>
                </w:tcPr>
                <w:p w14:paraId="39707A39">
                  <w:pPr>
                    <w:spacing w:before="62" w:after="62"/>
                    <w:ind w:firstLine="240" w:firstLineChars="100"/>
                    <w:rPr>
                      <w:rFonts w:hint="eastAsia" w:ascii="黑体" w:hAnsi="黑体" w:eastAsia="黑体" w:cs="黑体"/>
                      <w:sz w:val="24"/>
                      <w:szCs w:val="24"/>
                    </w:rPr>
                  </w:pPr>
                  <w:r>
                    <w:rPr>
                      <w:rFonts w:hint="eastAsia" w:ascii="黑体" w:hAnsi="黑体" w:eastAsia="黑体" w:cs="黑体"/>
                      <w:sz w:val="24"/>
                      <w:szCs w:val="24"/>
                    </w:rPr>
                    <w:t>10分钟（</w:t>
                  </w:r>
                  <w:r>
                    <w:rPr>
                      <w:rFonts w:hint="eastAsia" w:ascii="黑体" w:hAnsi="黑体" w:eastAsia="黑体" w:cs="黑体"/>
                      <w:sz w:val="24"/>
                      <w:szCs w:val="24"/>
                      <w:lang w:val="en-US" w:eastAsia="zh-CN"/>
                    </w:rPr>
                    <w:t>不包含在</w:t>
                  </w:r>
                  <w:r>
                    <w:rPr>
                      <w:rFonts w:hint="eastAsia" w:ascii="黑体" w:hAnsi="黑体" w:eastAsia="黑体" w:cs="黑体"/>
                      <w:sz w:val="24"/>
                      <w:szCs w:val="24"/>
                    </w:rPr>
                    <w:t>3小时内）</w:t>
                  </w:r>
                </w:p>
              </w:tc>
              <w:tc>
                <w:tcPr>
                  <w:tcW w:w="824" w:type="dxa"/>
                  <w:vAlign w:val="center"/>
                </w:tcPr>
                <w:p w14:paraId="2B0DBF64">
                  <w:pPr>
                    <w:spacing w:before="62" w:after="62"/>
                    <w:ind w:firstLine="240" w:firstLineChars="100"/>
                    <w:rPr>
                      <w:rFonts w:hint="eastAsia" w:ascii="黑体" w:hAnsi="黑体" w:eastAsia="黑体" w:cs="黑体"/>
                      <w:sz w:val="24"/>
                      <w:szCs w:val="24"/>
                    </w:rPr>
                  </w:pPr>
                  <w:r>
                    <w:rPr>
                      <w:rFonts w:hint="eastAsia" w:ascii="黑体" w:hAnsi="黑体" w:eastAsia="黑体" w:cs="黑体"/>
                      <w:sz w:val="24"/>
                      <w:szCs w:val="24"/>
                    </w:rPr>
                    <w:t>10</w:t>
                  </w:r>
                </w:p>
              </w:tc>
            </w:tr>
          </w:tbl>
          <w:p w14:paraId="07FED81C">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（4）设计要求</w:t>
            </w:r>
          </w:p>
          <w:p w14:paraId="56B56D88">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设计不能改变试题中指定硬质景观的位置、尺寸和标高，根据材料清单，合理运用地形、水体、植物、木作小品等进行二次设计，构思新颖，具有独创性、经济性和可行性。</w:t>
            </w:r>
          </w:p>
          <w:p w14:paraId="0937DF90">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（5）施工要求</w:t>
            </w:r>
          </w:p>
          <w:p w14:paraId="3F885308">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①砌筑、木作与铺装</w:t>
            </w:r>
          </w:p>
          <w:p w14:paraId="6BE62AD4">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正确使用工具切割砖、石材、木料，力求切割面平顺，按正确的尺寸、标高精准砌筑花池、景墙，铺筑园路，制作木平台、木坐凳、木作小品等，并安装稳固。</w:t>
            </w:r>
          </w:p>
          <w:p w14:paraId="7805E772">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②水景营造</w:t>
            </w:r>
          </w:p>
          <w:p w14:paraId="158CF7ED">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利用给定的防水材料、给排水材料、卵石、景石等营造水池、叠水等，无渗漏，正确安装潜水泵、给排水管线。</w:t>
            </w:r>
          </w:p>
          <w:p w14:paraId="5C100E25">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③植物造景</w:t>
            </w:r>
          </w:p>
          <w:p w14:paraId="6EFB937B">
            <w:pPr>
              <w:spacing w:before="0" w:beforeLines="0" w:after="0" w:afterLines="0" w:line="480" w:lineRule="auto"/>
              <w:ind w:firstLine="480"/>
              <w:rPr>
                <w:rFonts w:hint="eastAsia" w:ascii="黑体" w:hAnsi="黑体" w:eastAsia="黑体" w:cs="黑体"/>
                <w:sz w:val="24"/>
                <w:szCs w:val="24"/>
              </w:rPr>
            </w:pPr>
            <w:r>
              <w:rPr>
                <w:rFonts w:hint="eastAsia" w:ascii="黑体" w:hAnsi="黑体" w:eastAsia="黑体" w:cs="黑体"/>
                <w:sz w:val="24"/>
                <w:szCs w:val="24"/>
              </w:rPr>
              <w:t>严格按规范种植植物，定点植物种植无误，草皮铺设平整、紧实、接缝严密。</w:t>
            </w:r>
          </w:p>
        </w:tc>
      </w:tr>
    </w:tbl>
    <w:p w14:paraId="28DC1B2A">
      <w:pPr>
        <w:snapToGrid w:val="0"/>
        <w:spacing w:before="62" w:after="62" w:line="560" w:lineRule="exact"/>
        <w:ind w:firstLine="0" w:firstLineChars="0"/>
        <w:rPr>
          <w:sz w:val="30"/>
          <w:szCs w:val="30"/>
        </w:rPr>
      </w:pPr>
    </w:p>
    <w:p w14:paraId="1F0AF55F">
      <w:pPr>
        <w:snapToGrid w:val="0"/>
        <w:spacing w:before="62" w:after="62" w:line="560" w:lineRule="exact"/>
        <w:ind w:firstLine="0" w:firstLineChars="0"/>
        <w:rPr>
          <w:sz w:val="30"/>
          <w:szCs w:val="30"/>
        </w:rPr>
      </w:pPr>
      <w:r>
        <w:rPr>
          <w:rFonts w:hint="eastAsia"/>
          <w:sz w:val="30"/>
          <w:szCs w:val="30"/>
        </w:rPr>
        <w:t>四、竞赛方式</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4207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3" w:hRule="atLeast"/>
        </w:trPr>
        <w:tc>
          <w:tcPr>
            <w:tcW w:w="8296" w:type="dxa"/>
          </w:tcPr>
          <w:p w14:paraId="0274128F">
            <w:pPr>
              <w:pStyle w:val="3"/>
              <w:widowControl/>
              <w:kinsoku w:val="0"/>
              <w:autoSpaceDE w:val="0"/>
              <w:autoSpaceDN w:val="0"/>
              <w:adjustRightInd w:val="0"/>
              <w:snapToGrid w:val="0"/>
              <w:spacing w:before="62" w:after="62" w:line="620" w:lineRule="exact"/>
              <w:ind w:left="18" w:right="2" w:firstLine="480"/>
              <w:textAlignment w:val="baseline"/>
              <w:rPr>
                <w:rFonts w:hint="eastAsia" w:ascii="黑体" w:hAnsi="黑体" w:eastAsia="黑体" w:cs="黑体"/>
                <w:sz w:val="24"/>
                <w:szCs w:val="24"/>
                <w:lang w:eastAsia="zh-CN"/>
              </w:rPr>
            </w:pPr>
            <w:r>
              <w:rPr>
                <w:rFonts w:hint="eastAsia" w:ascii="黑体" w:hAnsi="黑体" w:eastAsia="黑体" w:cs="黑体"/>
                <w:sz w:val="24"/>
                <w:szCs w:val="24"/>
                <w:lang w:eastAsia="zh-CN"/>
              </w:rPr>
              <w:t>（一）组队方式及人数要求</w:t>
            </w:r>
          </w:p>
          <w:p w14:paraId="39F8B1A5">
            <w:pPr>
              <w:pStyle w:val="3"/>
              <w:widowControl/>
              <w:kinsoku w:val="0"/>
              <w:autoSpaceDE w:val="0"/>
              <w:autoSpaceDN w:val="0"/>
              <w:adjustRightInd w:val="0"/>
              <w:snapToGrid w:val="0"/>
              <w:spacing w:before="62" w:after="62" w:line="620" w:lineRule="exact"/>
              <w:ind w:left="18" w:right="2" w:firstLine="480"/>
              <w:textAlignment w:val="baseline"/>
              <w:rPr>
                <w:rFonts w:hint="eastAsia" w:ascii="黑体" w:hAnsi="黑体" w:eastAsia="黑体" w:cs="黑体"/>
                <w:sz w:val="24"/>
                <w:szCs w:val="24"/>
                <w:lang w:eastAsia="zh-CN"/>
              </w:rPr>
            </w:pPr>
            <w:r>
              <w:rPr>
                <w:rFonts w:hint="eastAsia" w:ascii="黑体" w:hAnsi="黑体" w:eastAsia="黑体" w:cs="黑体"/>
                <w:sz w:val="24"/>
                <w:szCs w:val="24"/>
                <w:lang w:eastAsia="zh-CN"/>
              </w:rPr>
              <w:t>1.本赛项为团体赛。以学校为单位报名参赛，原则上由在赛项征集阶段提交对应赛项参赛意向的学校报名参赛。每所学校最多可报2个参赛队，每个参赛队由4名选手组成。所有参赛选手必须以团体形式参加完本赛项的比赛。参赛选手的资格审查通过之后原则上不得再更换，不得跨校组队参赛。</w:t>
            </w:r>
          </w:p>
          <w:p w14:paraId="14C3DB8A">
            <w:pPr>
              <w:pStyle w:val="3"/>
              <w:widowControl/>
              <w:kinsoku w:val="0"/>
              <w:autoSpaceDE w:val="0"/>
              <w:autoSpaceDN w:val="0"/>
              <w:adjustRightInd w:val="0"/>
              <w:snapToGrid w:val="0"/>
              <w:spacing w:before="62" w:after="62" w:line="620" w:lineRule="exact"/>
              <w:ind w:left="18" w:right="2" w:firstLine="480"/>
              <w:textAlignment w:val="baseline"/>
              <w:rPr>
                <w:rFonts w:hint="eastAsia" w:ascii="黑体" w:hAnsi="黑体" w:eastAsia="黑体" w:cs="黑体"/>
                <w:sz w:val="24"/>
                <w:szCs w:val="24"/>
                <w:lang w:eastAsia="zh-CN"/>
              </w:rPr>
            </w:pPr>
            <w:r>
              <w:rPr>
                <w:rFonts w:hint="eastAsia" w:ascii="黑体" w:hAnsi="黑体" w:eastAsia="黑体" w:cs="黑体"/>
                <w:sz w:val="24"/>
                <w:szCs w:val="24"/>
                <w:lang w:eastAsia="zh-CN"/>
              </w:rPr>
              <w:t>2.参赛队伍可配备指导教师，指导教师须为本校专兼职教师，且数量不得超过2名。</w:t>
            </w:r>
          </w:p>
          <w:p w14:paraId="38CA0A62">
            <w:pPr>
              <w:pStyle w:val="3"/>
              <w:widowControl/>
              <w:kinsoku w:val="0"/>
              <w:autoSpaceDE w:val="0"/>
              <w:autoSpaceDN w:val="0"/>
              <w:adjustRightInd w:val="0"/>
              <w:snapToGrid w:val="0"/>
              <w:spacing w:before="62" w:after="62" w:line="620" w:lineRule="exact"/>
              <w:ind w:left="18" w:right="2" w:firstLine="480"/>
              <w:textAlignment w:val="baseline"/>
              <w:rPr>
                <w:rFonts w:hint="eastAsia" w:ascii="黑体" w:hAnsi="黑体" w:eastAsia="黑体" w:cs="黑体"/>
                <w:sz w:val="24"/>
                <w:szCs w:val="24"/>
                <w:lang w:eastAsia="zh-CN"/>
              </w:rPr>
            </w:pPr>
            <w:r>
              <w:rPr>
                <w:rFonts w:hint="eastAsia" w:ascii="黑体" w:hAnsi="黑体" w:eastAsia="黑体" w:cs="黑体"/>
                <w:sz w:val="24"/>
                <w:szCs w:val="24"/>
                <w:lang w:eastAsia="zh-CN"/>
              </w:rPr>
              <w:t>（二）参赛选手资格</w:t>
            </w:r>
          </w:p>
          <w:p w14:paraId="39FD35DB">
            <w:pPr>
              <w:pStyle w:val="3"/>
              <w:widowControl/>
              <w:kinsoku w:val="0"/>
              <w:autoSpaceDE w:val="0"/>
              <w:autoSpaceDN w:val="0"/>
              <w:adjustRightInd w:val="0"/>
              <w:snapToGrid w:val="0"/>
              <w:spacing w:before="62" w:after="62" w:line="620" w:lineRule="exact"/>
              <w:ind w:left="18" w:right="2" w:firstLine="480"/>
              <w:textAlignment w:val="baseline"/>
              <w:rPr>
                <w:rFonts w:hint="eastAsia" w:ascii="黑体" w:hAnsi="黑体" w:eastAsia="黑体" w:cs="黑体"/>
                <w:sz w:val="24"/>
                <w:szCs w:val="24"/>
                <w:lang w:eastAsia="zh-CN"/>
              </w:rPr>
            </w:pPr>
            <w:r>
              <w:rPr>
                <w:rFonts w:hint="eastAsia" w:ascii="黑体" w:hAnsi="黑体" w:eastAsia="黑体" w:cs="黑体"/>
                <w:sz w:val="24"/>
                <w:szCs w:val="24"/>
                <w:lang w:eastAsia="zh-CN"/>
              </w:rPr>
              <w:t>参赛选手须为具有正式学籍的全日制在校生，性别不限，专业为园林技术、园林工程技术、风景园林设计、环境艺术设计。高等职业学校本科在籍学生、本科院校在籍高职学生可参加高职组比赛；五年制高职四、五年级学生可参加高职组比赛；“2+3”分段学制已进入高职院校就读的三年级学生可参加高职组比赛。参加过往届比赛的选手可以参加本次比赛，但参加过国赛并获得过该项目比赛一等奖的选手不能参赛。</w:t>
            </w:r>
          </w:p>
        </w:tc>
      </w:tr>
    </w:tbl>
    <w:p w14:paraId="45389466">
      <w:pPr>
        <w:snapToGrid w:val="0"/>
        <w:spacing w:before="62" w:after="62" w:line="560" w:lineRule="exact"/>
        <w:ind w:firstLine="0" w:firstLineChars="0"/>
        <w:rPr>
          <w:sz w:val="30"/>
          <w:szCs w:val="30"/>
        </w:rPr>
      </w:pPr>
    </w:p>
    <w:p w14:paraId="26A1E8FE">
      <w:pPr>
        <w:snapToGrid w:val="0"/>
        <w:spacing w:before="62" w:after="62" w:line="560" w:lineRule="exact"/>
        <w:ind w:firstLine="0" w:firstLineChars="0"/>
        <w:rPr>
          <w:sz w:val="30"/>
          <w:szCs w:val="30"/>
        </w:rPr>
      </w:pPr>
      <w:r>
        <w:rPr>
          <w:rFonts w:hint="eastAsia"/>
          <w:sz w:val="30"/>
          <w:szCs w:val="30"/>
        </w:rPr>
        <w:t>五、竞赛流程</w:t>
      </w:r>
    </w:p>
    <w:tbl>
      <w:tblPr>
        <w:tblStyle w:val="11"/>
        <w:tblpPr w:leftFromText="180" w:rightFromText="180" w:vertAnchor="text" w:horzAnchor="page" w:tblpX="1863" w:tblpY="182"/>
        <w:tblOverlap w:val="never"/>
        <w:tblW w:w="805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0"/>
        <w:gridCol w:w="1394"/>
        <w:gridCol w:w="4933"/>
        <w:gridCol w:w="1112"/>
      </w:tblGrid>
      <w:tr w14:paraId="4F1F8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2014" w:type="dxa"/>
            <w:gridSpan w:val="2"/>
            <w:tcBorders>
              <w:left w:val="single" w:color="000000" w:sz="4" w:space="0"/>
              <w:right w:val="single" w:color="000000" w:sz="4" w:space="0"/>
            </w:tcBorders>
          </w:tcPr>
          <w:p w14:paraId="2C742D3E">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b/>
                <w:bCs/>
                <w:lang w:eastAsia="zh-CN"/>
              </w:rPr>
            </w:pPr>
            <w:r>
              <w:rPr>
                <w:rFonts w:hint="eastAsia" w:ascii="黑体" w:hAnsi="黑体" w:eastAsia="黑体" w:cs="黑体"/>
                <w:b/>
                <w:bCs/>
                <w:lang w:eastAsia="zh-CN"/>
              </w:rPr>
              <w:t>时间安排</w:t>
            </w:r>
          </w:p>
        </w:tc>
        <w:tc>
          <w:tcPr>
            <w:tcW w:w="4933" w:type="dxa"/>
            <w:tcBorders>
              <w:left w:val="single" w:color="000000" w:sz="4" w:space="0"/>
              <w:bottom w:val="single" w:color="auto" w:sz="4" w:space="0"/>
              <w:right w:val="single" w:color="000000" w:sz="4" w:space="0"/>
            </w:tcBorders>
          </w:tcPr>
          <w:p w14:paraId="7FF87C9C">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b/>
                <w:bCs/>
                <w:lang w:eastAsia="zh-CN"/>
              </w:rPr>
            </w:pPr>
            <w:r>
              <w:rPr>
                <w:rFonts w:hint="eastAsia" w:ascii="黑体" w:hAnsi="黑体" w:eastAsia="黑体" w:cs="黑体"/>
                <w:b/>
                <w:bCs/>
                <w:lang w:eastAsia="zh-CN"/>
              </w:rPr>
              <w:t>内容</w:t>
            </w:r>
          </w:p>
        </w:tc>
        <w:tc>
          <w:tcPr>
            <w:tcW w:w="1112" w:type="dxa"/>
            <w:tcBorders>
              <w:left w:val="single" w:color="000000" w:sz="4" w:space="0"/>
              <w:bottom w:val="single" w:color="auto" w:sz="4" w:space="0"/>
              <w:right w:val="single" w:color="000000" w:sz="4" w:space="0"/>
            </w:tcBorders>
          </w:tcPr>
          <w:p w14:paraId="7AD16BBF">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b/>
                <w:bCs/>
                <w:lang w:eastAsia="zh-CN"/>
              </w:rPr>
            </w:pPr>
            <w:r>
              <w:rPr>
                <w:rFonts w:hint="eastAsia" w:ascii="黑体" w:hAnsi="黑体" w:eastAsia="黑体" w:cs="黑体"/>
                <w:b/>
                <w:bCs/>
                <w:lang w:eastAsia="zh-CN"/>
              </w:rPr>
              <w:t>竞赛地点</w:t>
            </w:r>
          </w:p>
        </w:tc>
      </w:tr>
      <w:tr w14:paraId="023F9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620" w:type="dxa"/>
            <w:vMerge w:val="restart"/>
            <w:tcBorders>
              <w:left w:val="single" w:color="000000" w:sz="4" w:space="0"/>
            </w:tcBorders>
          </w:tcPr>
          <w:p w14:paraId="06A43478">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p w14:paraId="647D88CD">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p w14:paraId="3EF61CEE">
            <w:pPr>
              <w:pStyle w:val="10"/>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lang w:eastAsia="zh-CN"/>
              </w:rPr>
            </w:pPr>
          </w:p>
          <w:p w14:paraId="02C0A4FD">
            <w:pPr>
              <w:pStyle w:val="10"/>
              <w:widowControl/>
              <w:kinsoku w:val="0"/>
              <w:autoSpaceDE w:val="0"/>
              <w:autoSpaceDN w:val="0"/>
              <w:adjustRightInd w:val="0"/>
              <w:snapToGrid w:val="0"/>
              <w:spacing w:before="62" w:after="62" w:line="620" w:lineRule="exact"/>
              <w:ind w:firstLine="0" w:firstLineChars="0"/>
              <w:textAlignment w:val="baseline"/>
              <w:rPr>
                <w:rFonts w:hint="eastAsia" w:ascii="黑体" w:hAnsi="黑体" w:eastAsia="黑体" w:cs="黑体"/>
                <w:lang w:eastAsia="zh-CN"/>
              </w:rPr>
            </w:pPr>
          </w:p>
          <w:p w14:paraId="33863F2C">
            <w:pPr>
              <w:pStyle w:val="10"/>
              <w:widowControl/>
              <w:kinsoku w:val="0"/>
              <w:autoSpaceDE w:val="0"/>
              <w:autoSpaceDN w:val="0"/>
              <w:adjustRightInd w:val="0"/>
              <w:snapToGrid w:val="0"/>
              <w:spacing w:before="62" w:after="62" w:line="620" w:lineRule="exact"/>
              <w:ind w:firstLine="0" w:firstLineChars="0"/>
              <w:textAlignment w:val="baseline"/>
              <w:rPr>
                <w:rFonts w:hint="eastAsia" w:ascii="黑体" w:hAnsi="黑体" w:eastAsia="黑体" w:cs="黑体"/>
                <w:lang w:eastAsia="zh-CN"/>
              </w:rPr>
            </w:pPr>
          </w:p>
          <w:p w14:paraId="40325CD8">
            <w:pPr>
              <w:pStyle w:val="10"/>
              <w:widowControl/>
              <w:kinsoku w:val="0"/>
              <w:autoSpaceDE w:val="0"/>
              <w:autoSpaceDN w:val="0"/>
              <w:adjustRightInd w:val="0"/>
              <w:snapToGrid w:val="0"/>
              <w:spacing w:before="62" w:after="62" w:line="620" w:lineRule="exact"/>
              <w:ind w:firstLine="0" w:firstLineChars="0"/>
              <w:textAlignment w:val="baseline"/>
              <w:rPr>
                <w:rFonts w:hint="eastAsia" w:ascii="黑体" w:hAnsi="黑体" w:eastAsia="黑体" w:cs="黑体"/>
                <w:lang w:eastAsia="zh-CN"/>
              </w:rPr>
            </w:pPr>
          </w:p>
          <w:p w14:paraId="67209D7D">
            <w:pPr>
              <w:pStyle w:val="10"/>
              <w:widowControl/>
              <w:kinsoku w:val="0"/>
              <w:autoSpaceDE w:val="0"/>
              <w:autoSpaceDN w:val="0"/>
              <w:adjustRightInd w:val="0"/>
              <w:snapToGrid w:val="0"/>
              <w:spacing w:before="62" w:after="62" w:line="620" w:lineRule="exact"/>
              <w:ind w:firstLine="0" w:firstLineChars="0"/>
              <w:textAlignment w:val="baseline"/>
              <w:rPr>
                <w:rFonts w:hint="eastAsia" w:ascii="黑体" w:hAnsi="黑体" w:eastAsia="黑体" w:cs="黑体"/>
                <w:lang w:eastAsia="zh-CN"/>
              </w:rPr>
            </w:pPr>
            <w:r>
              <w:rPr>
                <w:rFonts w:hint="eastAsia" w:ascii="黑体" w:hAnsi="黑体" w:eastAsia="黑体" w:cs="黑体"/>
                <w:lang w:eastAsia="zh-CN"/>
              </w:rPr>
              <w:t>比赛日</w:t>
            </w:r>
          </w:p>
          <w:p w14:paraId="6946A823">
            <w:pPr>
              <w:pStyle w:val="10"/>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lang w:eastAsia="zh-CN"/>
              </w:rPr>
            </w:pPr>
          </w:p>
          <w:p w14:paraId="56AD3DDA">
            <w:pPr>
              <w:pStyle w:val="10"/>
              <w:widowControl/>
              <w:kinsoku w:val="0"/>
              <w:autoSpaceDE w:val="0"/>
              <w:autoSpaceDN w:val="0"/>
              <w:adjustRightInd w:val="0"/>
              <w:snapToGrid w:val="0"/>
              <w:spacing w:before="62" w:after="62" w:line="620" w:lineRule="exact"/>
              <w:ind w:firstLine="480"/>
              <w:textAlignment w:val="baseline"/>
              <w:rPr>
                <w:rFonts w:hint="eastAsia" w:ascii="黑体" w:hAnsi="黑体" w:eastAsia="黑体" w:cs="黑体"/>
                <w:lang w:eastAsia="zh-CN"/>
              </w:rPr>
            </w:pPr>
          </w:p>
        </w:tc>
        <w:tc>
          <w:tcPr>
            <w:tcW w:w="1394" w:type="dxa"/>
            <w:tcBorders>
              <w:right w:val="single" w:color="auto" w:sz="4" w:space="0"/>
            </w:tcBorders>
            <w:vAlign w:val="center"/>
          </w:tcPr>
          <w:p w14:paraId="4F2AA6B1">
            <w:pPr>
              <w:pStyle w:val="10"/>
              <w:widowControl/>
              <w:kinsoku w:val="0"/>
              <w:autoSpaceDE w:val="0"/>
              <w:autoSpaceDN w:val="0"/>
              <w:adjustRightInd w:val="0"/>
              <w:snapToGrid w:val="0"/>
              <w:spacing w:before="62" w:after="62" w:line="620" w:lineRule="exact"/>
              <w:ind w:firstLine="0" w:firstLineChars="0"/>
              <w:jc w:val="left"/>
              <w:textAlignment w:val="baseline"/>
              <w:rPr>
                <w:rFonts w:hint="eastAsia" w:ascii="黑体" w:hAnsi="黑体" w:eastAsia="黑体" w:cs="黑体"/>
                <w:lang w:eastAsia="zh-CN"/>
              </w:rPr>
            </w:pPr>
            <w:r>
              <w:rPr>
                <w:rFonts w:hint="eastAsia" w:ascii="黑体" w:hAnsi="黑体" w:eastAsia="黑体" w:cs="黑体"/>
                <w:lang w:eastAsia="zh-CN"/>
              </w:rPr>
              <w:t>8:00</w:t>
            </w:r>
          </w:p>
        </w:tc>
        <w:tc>
          <w:tcPr>
            <w:tcW w:w="4933" w:type="dxa"/>
            <w:tcBorders>
              <w:top w:val="single" w:color="auto" w:sz="4" w:space="0"/>
              <w:left w:val="single" w:color="auto" w:sz="4" w:space="0"/>
              <w:right w:val="single" w:color="000000" w:sz="4" w:space="0"/>
            </w:tcBorders>
            <w:vAlign w:val="center"/>
          </w:tcPr>
          <w:p w14:paraId="3249AD9E">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裁判组成员进入技能比赛场</w:t>
            </w:r>
          </w:p>
        </w:tc>
        <w:tc>
          <w:tcPr>
            <w:tcW w:w="1112" w:type="dxa"/>
            <w:vMerge w:val="restart"/>
            <w:tcBorders>
              <w:top w:val="single" w:color="auto" w:sz="4" w:space="0"/>
              <w:left w:val="single" w:color="000000" w:sz="4" w:space="0"/>
              <w:right w:val="single" w:color="auto" w:sz="4" w:space="0"/>
            </w:tcBorders>
            <w:vAlign w:val="center"/>
          </w:tcPr>
          <w:p w14:paraId="4F964DA8">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p w14:paraId="542DF5E7">
            <w:pPr>
              <w:pStyle w:val="10"/>
              <w:widowControl/>
              <w:kinsoku w:val="0"/>
              <w:autoSpaceDE w:val="0"/>
              <w:autoSpaceDN w:val="0"/>
              <w:adjustRightInd w:val="0"/>
              <w:snapToGrid w:val="0"/>
              <w:spacing w:before="62" w:after="62" w:line="620" w:lineRule="exact"/>
              <w:ind w:right="111" w:firstLine="0" w:firstLineChars="0"/>
              <w:jc w:val="left"/>
              <w:textAlignment w:val="baseline"/>
              <w:rPr>
                <w:rFonts w:hint="eastAsia" w:ascii="黑体" w:hAnsi="黑体" w:eastAsia="黑体" w:cs="黑体"/>
                <w:lang w:eastAsia="zh-CN"/>
              </w:rPr>
            </w:pPr>
            <w:r>
              <w:rPr>
                <w:rFonts w:hint="eastAsia" w:ascii="黑体" w:hAnsi="黑体" w:eastAsia="黑体" w:cs="黑体"/>
                <w:lang w:eastAsia="zh-CN"/>
              </w:rPr>
              <w:t>比赛地点</w:t>
            </w:r>
          </w:p>
        </w:tc>
      </w:tr>
      <w:tr w14:paraId="33BA5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620" w:type="dxa"/>
            <w:vMerge w:val="continue"/>
            <w:tcBorders>
              <w:left w:val="single" w:color="000000" w:sz="4" w:space="0"/>
            </w:tcBorders>
          </w:tcPr>
          <w:p w14:paraId="5BA61281">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tc>
        <w:tc>
          <w:tcPr>
            <w:tcW w:w="1394" w:type="dxa"/>
            <w:vMerge w:val="restart"/>
            <w:tcBorders>
              <w:bottom w:val="nil"/>
              <w:right w:val="single" w:color="auto" w:sz="4" w:space="0"/>
            </w:tcBorders>
            <w:vAlign w:val="center"/>
          </w:tcPr>
          <w:p w14:paraId="0D20C7FE">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8:00-8:45</w:t>
            </w:r>
          </w:p>
        </w:tc>
        <w:tc>
          <w:tcPr>
            <w:tcW w:w="4933" w:type="dxa"/>
            <w:tcBorders>
              <w:left w:val="single" w:color="auto" w:sz="4" w:space="0"/>
              <w:right w:val="single" w:color="000000" w:sz="4" w:space="0"/>
            </w:tcBorders>
            <w:vAlign w:val="center"/>
          </w:tcPr>
          <w:p w14:paraId="3DA51FAF">
            <w:pPr>
              <w:pStyle w:val="10"/>
              <w:widowControl/>
              <w:kinsoku w:val="0"/>
              <w:autoSpaceDE w:val="0"/>
              <w:autoSpaceDN w:val="0"/>
              <w:adjustRightInd w:val="0"/>
              <w:snapToGrid w:val="0"/>
              <w:spacing w:before="62" w:after="62" w:line="620" w:lineRule="exact"/>
              <w:ind w:firstLine="0" w:firstLineChars="0"/>
              <w:jc w:val="left"/>
              <w:textAlignment w:val="baseline"/>
              <w:rPr>
                <w:rFonts w:hint="eastAsia" w:ascii="黑体" w:hAnsi="黑体" w:eastAsia="黑体" w:cs="黑体"/>
                <w:lang w:eastAsia="zh-CN"/>
              </w:rPr>
            </w:pPr>
            <w:r>
              <w:rPr>
                <w:rFonts w:hint="eastAsia" w:ascii="黑体" w:hAnsi="黑体" w:eastAsia="黑体" w:cs="黑体"/>
                <w:lang w:eastAsia="zh-CN"/>
              </w:rPr>
              <w:t>设计选手到达赛场、检录（核对选手身份证、学生证、参赛证信息，手机封存），检录完毕进入选手休息室侯赛</w:t>
            </w:r>
          </w:p>
        </w:tc>
        <w:tc>
          <w:tcPr>
            <w:tcW w:w="1112" w:type="dxa"/>
            <w:vMerge w:val="continue"/>
            <w:tcBorders>
              <w:left w:val="single" w:color="000000" w:sz="4" w:space="0"/>
              <w:right w:val="single" w:color="auto" w:sz="4" w:space="0"/>
            </w:tcBorders>
            <w:vAlign w:val="center"/>
          </w:tcPr>
          <w:p w14:paraId="02BD5033">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tc>
      </w:tr>
      <w:tr w14:paraId="30655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620" w:type="dxa"/>
            <w:vMerge w:val="continue"/>
            <w:tcBorders>
              <w:left w:val="single" w:color="000000" w:sz="4" w:space="0"/>
            </w:tcBorders>
          </w:tcPr>
          <w:p w14:paraId="0F8B532E">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tc>
        <w:tc>
          <w:tcPr>
            <w:tcW w:w="1394" w:type="dxa"/>
            <w:vMerge w:val="continue"/>
            <w:tcBorders>
              <w:top w:val="nil"/>
              <w:bottom w:val="nil"/>
              <w:right w:val="single" w:color="auto" w:sz="4" w:space="0"/>
            </w:tcBorders>
            <w:vAlign w:val="center"/>
          </w:tcPr>
          <w:p w14:paraId="6F02D1D7">
            <w:pPr>
              <w:widowControl/>
              <w:kinsoku w:val="0"/>
              <w:autoSpaceDE w:val="0"/>
              <w:autoSpaceDN w:val="0"/>
              <w:adjustRightInd w:val="0"/>
              <w:snapToGrid w:val="0"/>
              <w:spacing w:before="62" w:after="62" w:line="620" w:lineRule="exact"/>
              <w:ind w:firstLine="480"/>
              <w:jc w:val="center"/>
              <w:textAlignment w:val="baseline"/>
              <w:rPr>
                <w:rFonts w:hint="eastAsia" w:ascii="黑体" w:hAnsi="黑体" w:eastAsia="黑体" w:cs="黑体"/>
                <w:sz w:val="24"/>
                <w:szCs w:val="24"/>
              </w:rPr>
            </w:pPr>
          </w:p>
        </w:tc>
        <w:tc>
          <w:tcPr>
            <w:tcW w:w="4933" w:type="dxa"/>
            <w:tcBorders>
              <w:left w:val="single" w:color="auto" w:sz="4" w:space="0"/>
              <w:right w:val="single" w:color="000000" w:sz="4" w:space="0"/>
            </w:tcBorders>
            <w:vAlign w:val="center"/>
          </w:tcPr>
          <w:p w14:paraId="5A3925E8">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设计选手抽签决定施工比赛工位号</w:t>
            </w:r>
          </w:p>
        </w:tc>
        <w:tc>
          <w:tcPr>
            <w:tcW w:w="1112" w:type="dxa"/>
            <w:vMerge w:val="continue"/>
            <w:tcBorders>
              <w:left w:val="single" w:color="000000" w:sz="4" w:space="0"/>
              <w:right w:val="single" w:color="auto" w:sz="4" w:space="0"/>
            </w:tcBorders>
            <w:vAlign w:val="center"/>
          </w:tcPr>
          <w:p w14:paraId="5D701869">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tc>
      </w:tr>
      <w:tr w14:paraId="0535C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620" w:type="dxa"/>
            <w:vMerge w:val="continue"/>
            <w:tcBorders>
              <w:left w:val="single" w:color="000000" w:sz="4" w:space="0"/>
            </w:tcBorders>
          </w:tcPr>
          <w:p w14:paraId="3B3699A8">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tc>
        <w:tc>
          <w:tcPr>
            <w:tcW w:w="1394" w:type="dxa"/>
            <w:vMerge w:val="continue"/>
            <w:tcBorders>
              <w:top w:val="nil"/>
              <w:right w:val="single" w:color="auto" w:sz="4" w:space="0"/>
            </w:tcBorders>
            <w:vAlign w:val="center"/>
          </w:tcPr>
          <w:p w14:paraId="38B19859">
            <w:pPr>
              <w:widowControl/>
              <w:kinsoku w:val="0"/>
              <w:autoSpaceDE w:val="0"/>
              <w:autoSpaceDN w:val="0"/>
              <w:adjustRightInd w:val="0"/>
              <w:snapToGrid w:val="0"/>
              <w:spacing w:before="62" w:after="62" w:line="620" w:lineRule="exact"/>
              <w:ind w:firstLine="480"/>
              <w:jc w:val="center"/>
              <w:textAlignment w:val="baseline"/>
              <w:rPr>
                <w:rFonts w:hint="eastAsia" w:ascii="黑体" w:hAnsi="黑体" w:eastAsia="黑体" w:cs="黑体"/>
                <w:sz w:val="24"/>
                <w:szCs w:val="24"/>
              </w:rPr>
            </w:pPr>
          </w:p>
        </w:tc>
        <w:tc>
          <w:tcPr>
            <w:tcW w:w="4933" w:type="dxa"/>
            <w:tcBorders>
              <w:left w:val="single" w:color="auto" w:sz="4" w:space="0"/>
              <w:right w:val="single" w:color="000000" w:sz="4" w:space="0"/>
            </w:tcBorders>
            <w:vAlign w:val="center"/>
          </w:tcPr>
          <w:p w14:paraId="102E71C4">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裁判长抽取赛卷并公布</w:t>
            </w:r>
          </w:p>
        </w:tc>
        <w:tc>
          <w:tcPr>
            <w:tcW w:w="1112" w:type="dxa"/>
            <w:vMerge w:val="continue"/>
            <w:tcBorders>
              <w:left w:val="single" w:color="000000" w:sz="4" w:space="0"/>
              <w:right w:val="single" w:color="auto" w:sz="4" w:space="0"/>
            </w:tcBorders>
            <w:vAlign w:val="center"/>
          </w:tcPr>
          <w:p w14:paraId="60CF211A">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tc>
      </w:tr>
      <w:tr w14:paraId="18012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620" w:type="dxa"/>
            <w:vMerge w:val="continue"/>
            <w:tcBorders>
              <w:left w:val="single" w:color="000000" w:sz="4" w:space="0"/>
            </w:tcBorders>
          </w:tcPr>
          <w:p w14:paraId="7AE3BE69">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tc>
        <w:tc>
          <w:tcPr>
            <w:tcW w:w="1394" w:type="dxa"/>
            <w:tcBorders>
              <w:right w:val="single" w:color="auto" w:sz="4" w:space="0"/>
            </w:tcBorders>
            <w:vAlign w:val="center"/>
          </w:tcPr>
          <w:p w14:paraId="0E0CBDDB">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8:45-9:00</w:t>
            </w:r>
          </w:p>
        </w:tc>
        <w:tc>
          <w:tcPr>
            <w:tcW w:w="4933" w:type="dxa"/>
            <w:tcBorders>
              <w:left w:val="single" w:color="auto" w:sz="4" w:space="0"/>
              <w:bottom w:val="single" w:color="auto" w:sz="4" w:space="0"/>
              <w:right w:val="single" w:color="000000" w:sz="4" w:space="0"/>
            </w:tcBorders>
            <w:vAlign w:val="center"/>
          </w:tcPr>
          <w:p w14:paraId="19DC29D7">
            <w:pPr>
              <w:pStyle w:val="10"/>
              <w:widowControl/>
              <w:kinsoku w:val="0"/>
              <w:autoSpaceDE w:val="0"/>
              <w:autoSpaceDN w:val="0"/>
              <w:adjustRightInd w:val="0"/>
              <w:snapToGrid w:val="0"/>
              <w:spacing w:before="62" w:after="62" w:line="620" w:lineRule="exact"/>
              <w:ind w:firstLine="0" w:firstLineChars="0"/>
              <w:jc w:val="left"/>
              <w:textAlignment w:val="baseline"/>
              <w:rPr>
                <w:rFonts w:hint="eastAsia" w:ascii="黑体" w:hAnsi="黑体" w:eastAsia="黑体" w:cs="黑体"/>
                <w:lang w:eastAsia="zh-CN"/>
              </w:rPr>
            </w:pPr>
            <w:r>
              <w:rPr>
                <w:rFonts w:hint="eastAsia" w:ascii="黑体" w:hAnsi="黑体" w:eastAsia="黑体" w:cs="黑体"/>
                <w:lang w:eastAsia="zh-CN"/>
              </w:rPr>
              <w:t>选手进入赛场并按事先抽签号就位，工作人员检查施工选手证件，同时核查选手不得携带规程自备外的电动工具、超限工具进场；裁判组成员进入施工比赛现场。</w:t>
            </w:r>
          </w:p>
        </w:tc>
        <w:tc>
          <w:tcPr>
            <w:tcW w:w="1112" w:type="dxa"/>
            <w:vMerge w:val="continue"/>
            <w:tcBorders>
              <w:left w:val="single" w:color="000000" w:sz="4" w:space="0"/>
              <w:right w:val="single" w:color="auto" w:sz="4" w:space="0"/>
            </w:tcBorders>
            <w:vAlign w:val="center"/>
          </w:tcPr>
          <w:p w14:paraId="2E3DE82F">
            <w:pPr>
              <w:widowControl/>
              <w:kinsoku w:val="0"/>
              <w:autoSpaceDE w:val="0"/>
              <w:autoSpaceDN w:val="0"/>
              <w:adjustRightInd w:val="0"/>
              <w:snapToGrid w:val="0"/>
              <w:spacing w:before="62" w:after="62" w:line="620" w:lineRule="exact"/>
              <w:ind w:firstLine="480"/>
              <w:jc w:val="left"/>
              <w:textAlignment w:val="baseline"/>
              <w:rPr>
                <w:rFonts w:hint="eastAsia" w:ascii="黑体" w:hAnsi="黑体" w:eastAsia="黑体" w:cs="黑体"/>
                <w:sz w:val="24"/>
                <w:szCs w:val="24"/>
              </w:rPr>
            </w:pPr>
          </w:p>
        </w:tc>
      </w:tr>
      <w:tr w14:paraId="70F97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620" w:type="dxa"/>
            <w:vMerge w:val="continue"/>
            <w:tcBorders>
              <w:left w:val="single" w:color="000000" w:sz="4" w:space="0"/>
            </w:tcBorders>
          </w:tcPr>
          <w:p w14:paraId="002A9E6D">
            <w:pPr>
              <w:pStyle w:val="10"/>
              <w:widowControl/>
              <w:kinsoku w:val="0"/>
              <w:autoSpaceDE w:val="0"/>
              <w:autoSpaceDN w:val="0"/>
              <w:adjustRightInd w:val="0"/>
              <w:snapToGrid w:val="0"/>
              <w:spacing w:before="62" w:after="62" w:line="620" w:lineRule="exact"/>
              <w:ind w:firstLine="480"/>
              <w:textAlignment w:val="baseline"/>
              <w:rPr>
                <w:rFonts w:hint="eastAsia" w:ascii="黑体" w:hAnsi="黑体" w:eastAsia="黑体" w:cs="黑体"/>
                <w:lang w:eastAsia="zh-CN"/>
              </w:rPr>
            </w:pPr>
          </w:p>
        </w:tc>
        <w:tc>
          <w:tcPr>
            <w:tcW w:w="1394" w:type="dxa"/>
            <w:tcBorders>
              <w:left w:val="single" w:color="000000" w:sz="4" w:space="0"/>
              <w:right w:val="single" w:color="000000" w:sz="4" w:space="0"/>
            </w:tcBorders>
            <w:vAlign w:val="center"/>
          </w:tcPr>
          <w:p w14:paraId="7E0C6661">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9:00-12:00</w:t>
            </w:r>
          </w:p>
        </w:tc>
        <w:tc>
          <w:tcPr>
            <w:tcW w:w="4933" w:type="dxa"/>
            <w:tcBorders>
              <w:top w:val="single" w:color="auto" w:sz="4" w:space="0"/>
              <w:left w:val="single" w:color="000000" w:sz="4" w:space="0"/>
              <w:right w:val="single" w:color="000000" w:sz="4" w:space="0"/>
            </w:tcBorders>
            <w:vAlign w:val="center"/>
          </w:tcPr>
          <w:p w14:paraId="3CC08C94">
            <w:pPr>
              <w:pStyle w:val="10"/>
              <w:widowControl/>
              <w:kinsoku w:val="0"/>
              <w:autoSpaceDE w:val="0"/>
              <w:autoSpaceDN w:val="0"/>
              <w:adjustRightInd w:val="0"/>
              <w:snapToGrid w:val="0"/>
              <w:spacing w:before="62" w:after="62" w:line="620" w:lineRule="exact"/>
              <w:ind w:left="2384" w:hanging="2369" w:firstLineChars="0"/>
              <w:jc w:val="center"/>
              <w:textAlignment w:val="baseline"/>
              <w:rPr>
                <w:rFonts w:hint="eastAsia" w:ascii="黑体" w:hAnsi="黑体" w:eastAsia="黑体" w:cs="黑体"/>
                <w:lang w:eastAsia="zh-CN"/>
              </w:rPr>
            </w:pPr>
            <w:r>
              <w:rPr>
                <w:rFonts w:hint="eastAsia" w:ascii="黑体" w:hAnsi="黑体" w:eastAsia="黑体" w:cs="黑体"/>
                <w:lang w:eastAsia="zh-CN"/>
              </w:rPr>
              <w:t>施工比赛</w:t>
            </w:r>
          </w:p>
          <w:p w14:paraId="41DDDCDC">
            <w:pPr>
              <w:pStyle w:val="10"/>
              <w:widowControl/>
              <w:kinsoku w:val="0"/>
              <w:autoSpaceDE w:val="0"/>
              <w:autoSpaceDN w:val="0"/>
              <w:adjustRightInd w:val="0"/>
              <w:snapToGrid w:val="0"/>
              <w:spacing w:before="62" w:after="62" w:line="620" w:lineRule="exact"/>
              <w:ind w:left="2384" w:hanging="2369" w:firstLineChars="0"/>
              <w:jc w:val="center"/>
              <w:textAlignment w:val="baseline"/>
              <w:rPr>
                <w:rFonts w:hint="eastAsia" w:ascii="黑体" w:hAnsi="黑体" w:eastAsia="黑体" w:cs="黑体"/>
                <w:lang w:eastAsia="zh-CN"/>
              </w:rPr>
            </w:pPr>
            <w:r>
              <w:rPr>
                <w:rFonts w:hint="eastAsia" w:ascii="黑体" w:hAnsi="黑体" w:eastAsia="黑体" w:cs="黑体"/>
                <w:lang w:eastAsia="zh-CN"/>
              </w:rPr>
              <w:t>（施工选手参加施工比赛前的安全操作培训）</w:t>
            </w:r>
          </w:p>
        </w:tc>
        <w:tc>
          <w:tcPr>
            <w:tcW w:w="1112" w:type="dxa"/>
            <w:vMerge w:val="continue"/>
            <w:tcBorders>
              <w:left w:val="single" w:color="000000" w:sz="4" w:space="0"/>
              <w:right w:val="single" w:color="auto" w:sz="4" w:space="0"/>
            </w:tcBorders>
            <w:vAlign w:val="center"/>
          </w:tcPr>
          <w:p w14:paraId="776ECE9E">
            <w:pPr>
              <w:pStyle w:val="10"/>
              <w:widowControl/>
              <w:kinsoku w:val="0"/>
              <w:autoSpaceDE w:val="0"/>
              <w:autoSpaceDN w:val="0"/>
              <w:adjustRightInd w:val="0"/>
              <w:snapToGrid w:val="0"/>
              <w:spacing w:before="62" w:after="62" w:line="620" w:lineRule="exact"/>
              <w:ind w:right="111" w:firstLine="0" w:firstLineChars="0"/>
              <w:jc w:val="left"/>
              <w:textAlignment w:val="baseline"/>
              <w:rPr>
                <w:rFonts w:hint="eastAsia" w:ascii="黑体" w:hAnsi="黑体" w:eastAsia="黑体" w:cs="黑体"/>
                <w:lang w:eastAsia="zh-CN"/>
              </w:rPr>
            </w:pPr>
          </w:p>
        </w:tc>
      </w:tr>
      <w:tr w14:paraId="014B0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620" w:type="dxa"/>
            <w:vMerge w:val="continue"/>
            <w:tcBorders>
              <w:left w:val="single" w:color="000000" w:sz="4" w:space="0"/>
            </w:tcBorders>
          </w:tcPr>
          <w:p w14:paraId="2D409374">
            <w:pPr>
              <w:pStyle w:val="10"/>
              <w:widowControl/>
              <w:kinsoku w:val="0"/>
              <w:autoSpaceDE w:val="0"/>
              <w:autoSpaceDN w:val="0"/>
              <w:adjustRightInd w:val="0"/>
              <w:snapToGrid w:val="0"/>
              <w:spacing w:before="62" w:after="62" w:line="620" w:lineRule="exact"/>
              <w:ind w:left="791" w:firstLine="480"/>
              <w:jc w:val="left"/>
              <w:textAlignment w:val="baseline"/>
              <w:rPr>
                <w:rFonts w:hint="eastAsia" w:ascii="黑体" w:hAnsi="黑体" w:eastAsia="黑体" w:cs="黑体"/>
                <w:lang w:eastAsia="zh-CN"/>
              </w:rPr>
            </w:pPr>
          </w:p>
        </w:tc>
        <w:tc>
          <w:tcPr>
            <w:tcW w:w="1394" w:type="dxa"/>
            <w:tcBorders>
              <w:left w:val="single" w:color="000000" w:sz="4" w:space="0"/>
              <w:right w:val="single" w:color="000000" w:sz="4" w:space="0"/>
            </w:tcBorders>
            <w:vAlign w:val="center"/>
          </w:tcPr>
          <w:p w14:paraId="2165A5FB">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12:00-13:00</w:t>
            </w:r>
          </w:p>
        </w:tc>
        <w:tc>
          <w:tcPr>
            <w:tcW w:w="4933" w:type="dxa"/>
            <w:tcBorders>
              <w:left w:val="single" w:color="000000" w:sz="4" w:space="0"/>
              <w:right w:val="single" w:color="000000" w:sz="4" w:space="0"/>
            </w:tcBorders>
            <w:vAlign w:val="center"/>
          </w:tcPr>
          <w:p w14:paraId="539D43AE">
            <w:pPr>
              <w:pStyle w:val="10"/>
              <w:widowControl/>
              <w:kinsoku w:val="0"/>
              <w:autoSpaceDE w:val="0"/>
              <w:autoSpaceDN w:val="0"/>
              <w:adjustRightInd w:val="0"/>
              <w:snapToGrid w:val="0"/>
              <w:spacing w:before="62" w:after="62" w:line="620" w:lineRule="exact"/>
              <w:ind w:left="1427" w:hanging="1408" w:firstLineChars="0"/>
              <w:jc w:val="center"/>
              <w:textAlignment w:val="baseline"/>
              <w:rPr>
                <w:rFonts w:hint="eastAsia" w:ascii="黑体" w:hAnsi="黑体" w:eastAsia="黑体" w:cs="黑体"/>
                <w:lang w:eastAsia="zh-CN"/>
              </w:rPr>
            </w:pPr>
            <w:r>
              <w:rPr>
                <w:rFonts w:hint="eastAsia" w:ascii="黑体" w:hAnsi="黑体" w:eastAsia="黑体" w:cs="黑体"/>
                <w:lang w:eastAsia="zh-CN"/>
              </w:rPr>
              <w:t>午餐</w:t>
            </w:r>
          </w:p>
        </w:tc>
        <w:tc>
          <w:tcPr>
            <w:tcW w:w="1112" w:type="dxa"/>
            <w:tcBorders>
              <w:left w:val="single" w:color="000000" w:sz="4" w:space="0"/>
              <w:right w:val="single" w:color="000000" w:sz="4" w:space="0"/>
            </w:tcBorders>
            <w:vAlign w:val="center"/>
          </w:tcPr>
          <w:p w14:paraId="533A5E93">
            <w:pPr>
              <w:pStyle w:val="10"/>
              <w:widowControl/>
              <w:kinsoku w:val="0"/>
              <w:autoSpaceDE w:val="0"/>
              <w:autoSpaceDN w:val="0"/>
              <w:adjustRightInd w:val="0"/>
              <w:snapToGrid w:val="0"/>
              <w:spacing w:before="62" w:after="62" w:line="620" w:lineRule="exact"/>
              <w:ind w:right="111" w:firstLine="0" w:firstLineChars="0"/>
              <w:jc w:val="left"/>
              <w:textAlignment w:val="baseline"/>
              <w:rPr>
                <w:rFonts w:hint="eastAsia" w:ascii="黑体" w:hAnsi="黑体" w:eastAsia="黑体" w:cs="黑体"/>
                <w:lang w:eastAsia="zh-CN"/>
              </w:rPr>
            </w:pPr>
            <w:r>
              <w:rPr>
                <w:rFonts w:hint="eastAsia" w:ascii="黑体" w:hAnsi="黑体" w:eastAsia="黑体" w:cs="黑体"/>
                <w:lang w:eastAsia="zh-CN"/>
              </w:rPr>
              <w:t>食堂</w:t>
            </w:r>
          </w:p>
        </w:tc>
      </w:tr>
      <w:tr w14:paraId="75563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620" w:type="dxa"/>
            <w:vMerge w:val="continue"/>
            <w:tcBorders>
              <w:left w:val="single" w:color="000000" w:sz="4" w:space="0"/>
            </w:tcBorders>
          </w:tcPr>
          <w:p w14:paraId="36E30160">
            <w:pPr>
              <w:pStyle w:val="10"/>
              <w:widowControl/>
              <w:kinsoku w:val="0"/>
              <w:autoSpaceDE w:val="0"/>
              <w:autoSpaceDN w:val="0"/>
              <w:adjustRightInd w:val="0"/>
              <w:snapToGrid w:val="0"/>
              <w:spacing w:before="62" w:after="62" w:line="620" w:lineRule="exact"/>
              <w:ind w:left="791" w:firstLine="480"/>
              <w:jc w:val="left"/>
              <w:textAlignment w:val="baseline"/>
              <w:rPr>
                <w:rFonts w:hint="eastAsia" w:ascii="黑体" w:hAnsi="黑体" w:eastAsia="黑体" w:cs="黑体"/>
                <w:lang w:eastAsia="zh-CN"/>
              </w:rPr>
            </w:pPr>
          </w:p>
        </w:tc>
        <w:tc>
          <w:tcPr>
            <w:tcW w:w="1394" w:type="dxa"/>
            <w:tcBorders>
              <w:left w:val="single" w:color="000000" w:sz="4" w:space="0"/>
              <w:right w:val="single" w:color="000000" w:sz="4" w:space="0"/>
            </w:tcBorders>
            <w:vAlign w:val="center"/>
          </w:tcPr>
          <w:p w14:paraId="3DB89FA3">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13:00-15:</w:t>
            </w:r>
            <w:r>
              <w:rPr>
                <w:rFonts w:hint="eastAsia" w:ascii="黑体" w:hAnsi="黑体" w:eastAsia="黑体" w:cs="黑体"/>
                <w:lang w:val="en-US" w:eastAsia="zh-CN"/>
              </w:rPr>
              <w:t>3</w:t>
            </w:r>
            <w:r>
              <w:rPr>
                <w:rFonts w:hint="eastAsia" w:ascii="黑体" w:hAnsi="黑体" w:eastAsia="黑体" w:cs="黑体"/>
                <w:lang w:eastAsia="zh-CN"/>
              </w:rPr>
              <w:t>0</w:t>
            </w:r>
          </w:p>
        </w:tc>
        <w:tc>
          <w:tcPr>
            <w:tcW w:w="4933" w:type="dxa"/>
            <w:tcBorders>
              <w:left w:val="single" w:color="000000" w:sz="4" w:space="0"/>
              <w:right w:val="single" w:color="000000" w:sz="4" w:space="0"/>
            </w:tcBorders>
            <w:vAlign w:val="center"/>
          </w:tcPr>
          <w:p w14:paraId="6ED0F466">
            <w:pPr>
              <w:pStyle w:val="10"/>
              <w:widowControl/>
              <w:kinsoku w:val="0"/>
              <w:autoSpaceDE w:val="0"/>
              <w:autoSpaceDN w:val="0"/>
              <w:adjustRightInd w:val="0"/>
              <w:snapToGrid w:val="0"/>
              <w:spacing w:before="62" w:after="62" w:line="620" w:lineRule="exact"/>
              <w:ind w:left="1427" w:hanging="1408" w:firstLineChars="0"/>
              <w:jc w:val="center"/>
              <w:textAlignment w:val="baseline"/>
              <w:rPr>
                <w:rFonts w:hint="eastAsia" w:ascii="黑体" w:hAnsi="黑体" w:eastAsia="黑体" w:cs="黑体"/>
                <w:lang w:eastAsia="zh-CN"/>
              </w:rPr>
            </w:pPr>
            <w:r>
              <w:rPr>
                <w:rFonts w:hint="eastAsia" w:ascii="黑体" w:hAnsi="黑体" w:eastAsia="黑体" w:cs="黑体"/>
                <w:lang w:val="en-US" w:eastAsia="zh-CN"/>
              </w:rPr>
              <w:t>选手汇报及</w:t>
            </w:r>
            <w:r>
              <w:rPr>
                <w:rFonts w:hint="eastAsia" w:ascii="黑体" w:hAnsi="黑体" w:eastAsia="黑体" w:cs="黑体"/>
                <w:lang w:eastAsia="zh-CN"/>
              </w:rPr>
              <w:t>裁判打分</w:t>
            </w:r>
          </w:p>
        </w:tc>
        <w:tc>
          <w:tcPr>
            <w:tcW w:w="1112" w:type="dxa"/>
            <w:tcBorders>
              <w:left w:val="single" w:color="000000" w:sz="4" w:space="0"/>
              <w:right w:val="single" w:color="000000" w:sz="4" w:space="0"/>
            </w:tcBorders>
            <w:vAlign w:val="center"/>
          </w:tcPr>
          <w:p w14:paraId="613CD222">
            <w:pPr>
              <w:pStyle w:val="10"/>
              <w:widowControl/>
              <w:kinsoku w:val="0"/>
              <w:autoSpaceDE w:val="0"/>
              <w:autoSpaceDN w:val="0"/>
              <w:adjustRightInd w:val="0"/>
              <w:snapToGrid w:val="0"/>
              <w:spacing w:before="62" w:after="62" w:line="620" w:lineRule="exact"/>
              <w:ind w:right="111" w:firstLine="0" w:firstLineChars="0"/>
              <w:jc w:val="left"/>
              <w:textAlignment w:val="baseline"/>
              <w:rPr>
                <w:rFonts w:hint="eastAsia" w:ascii="黑体" w:hAnsi="黑体" w:eastAsia="黑体" w:cs="黑体"/>
                <w:lang w:eastAsia="zh-CN"/>
              </w:rPr>
            </w:pPr>
            <w:r>
              <w:rPr>
                <w:rFonts w:hint="eastAsia" w:ascii="黑体" w:hAnsi="黑体" w:eastAsia="黑体" w:cs="黑体"/>
                <w:lang w:eastAsia="zh-CN"/>
              </w:rPr>
              <w:t>施工比赛地点</w:t>
            </w:r>
          </w:p>
        </w:tc>
      </w:tr>
      <w:tr w14:paraId="43E45E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620" w:type="dxa"/>
            <w:vMerge w:val="continue"/>
            <w:tcBorders>
              <w:left w:val="single" w:color="000000" w:sz="4" w:space="0"/>
            </w:tcBorders>
          </w:tcPr>
          <w:p w14:paraId="0883B326">
            <w:pPr>
              <w:pStyle w:val="10"/>
              <w:widowControl/>
              <w:kinsoku w:val="0"/>
              <w:autoSpaceDE w:val="0"/>
              <w:autoSpaceDN w:val="0"/>
              <w:adjustRightInd w:val="0"/>
              <w:snapToGrid w:val="0"/>
              <w:spacing w:before="62" w:after="62" w:line="620" w:lineRule="exact"/>
              <w:ind w:left="791" w:firstLine="480"/>
              <w:jc w:val="left"/>
              <w:textAlignment w:val="baseline"/>
              <w:rPr>
                <w:rFonts w:hint="eastAsia" w:ascii="黑体" w:hAnsi="黑体" w:eastAsia="黑体" w:cs="黑体"/>
                <w:lang w:eastAsia="zh-CN"/>
              </w:rPr>
            </w:pPr>
          </w:p>
        </w:tc>
        <w:tc>
          <w:tcPr>
            <w:tcW w:w="1394" w:type="dxa"/>
            <w:tcBorders>
              <w:left w:val="single" w:color="000000" w:sz="4" w:space="0"/>
              <w:right w:val="single" w:color="000000" w:sz="4" w:space="0"/>
            </w:tcBorders>
            <w:vAlign w:val="center"/>
          </w:tcPr>
          <w:p w14:paraId="3F7C6E61">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1</w:t>
            </w:r>
            <w:r>
              <w:rPr>
                <w:rFonts w:hint="eastAsia" w:ascii="黑体" w:hAnsi="黑体" w:eastAsia="黑体" w:cs="黑体"/>
                <w:lang w:val="en-US" w:eastAsia="zh-CN"/>
              </w:rPr>
              <w:t>6</w:t>
            </w:r>
            <w:r>
              <w:rPr>
                <w:rFonts w:hint="eastAsia" w:ascii="黑体" w:hAnsi="黑体" w:eastAsia="黑体" w:cs="黑体"/>
                <w:lang w:eastAsia="zh-CN"/>
              </w:rPr>
              <w:t>:00</w:t>
            </w:r>
          </w:p>
        </w:tc>
        <w:tc>
          <w:tcPr>
            <w:tcW w:w="4933" w:type="dxa"/>
            <w:tcBorders>
              <w:left w:val="single" w:color="000000" w:sz="4" w:space="0"/>
              <w:right w:val="single" w:color="000000" w:sz="4" w:space="0"/>
            </w:tcBorders>
            <w:vAlign w:val="center"/>
          </w:tcPr>
          <w:p w14:paraId="23A35436">
            <w:pPr>
              <w:pStyle w:val="10"/>
              <w:widowControl/>
              <w:kinsoku w:val="0"/>
              <w:autoSpaceDE w:val="0"/>
              <w:autoSpaceDN w:val="0"/>
              <w:adjustRightInd w:val="0"/>
              <w:snapToGrid w:val="0"/>
              <w:spacing w:before="62" w:after="62" w:line="620" w:lineRule="exact"/>
              <w:ind w:left="1427" w:hanging="1408" w:firstLineChars="0"/>
              <w:jc w:val="center"/>
              <w:textAlignment w:val="baseline"/>
              <w:rPr>
                <w:rFonts w:hint="eastAsia" w:ascii="黑体" w:hAnsi="黑体" w:eastAsia="黑体" w:cs="黑体"/>
                <w:lang w:eastAsia="zh-CN"/>
              </w:rPr>
            </w:pPr>
            <w:r>
              <w:rPr>
                <w:rFonts w:hint="eastAsia" w:ascii="黑体" w:hAnsi="黑体" w:eastAsia="黑体" w:cs="黑体"/>
                <w:lang w:eastAsia="zh-CN"/>
              </w:rPr>
              <w:t>公布成绩及作品点评</w:t>
            </w:r>
          </w:p>
        </w:tc>
        <w:tc>
          <w:tcPr>
            <w:tcW w:w="1112" w:type="dxa"/>
            <w:tcBorders>
              <w:left w:val="single" w:color="000000" w:sz="4" w:space="0"/>
              <w:right w:val="single" w:color="000000" w:sz="4" w:space="0"/>
            </w:tcBorders>
            <w:vAlign w:val="center"/>
          </w:tcPr>
          <w:p w14:paraId="4BE24E58">
            <w:pPr>
              <w:pStyle w:val="10"/>
              <w:widowControl/>
              <w:kinsoku w:val="0"/>
              <w:autoSpaceDE w:val="0"/>
              <w:autoSpaceDN w:val="0"/>
              <w:adjustRightInd w:val="0"/>
              <w:snapToGrid w:val="0"/>
              <w:spacing w:before="62" w:after="62" w:line="620" w:lineRule="exact"/>
              <w:ind w:right="111" w:firstLine="0" w:firstLineChars="0"/>
              <w:jc w:val="left"/>
              <w:textAlignment w:val="baseline"/>
              <w:rPr>
                <w:rFonts w:hint="eastAsia" w:ascii="黑体" w:hAnsi="黑体" w:eastAsia="黑体" w:cs="黑体"/>
                <w:lang w:eastAsia="zh-CN"/>
              </w:rPr>
            </w:pPr>
            <w:r>
              <w:rPr>
                <w:rFonts w:hint="eastAsia" w:ascii="黑体" w:hAnsi="黑体" w:eastAsia="黑体" w:cs="黑体"/>
                <w:lang w:eastAsia="zh-CN"/>
              </w:rPr>
              <w:t>教室</w:t>
            </w:r>
          </w:p>
        </w:tc>
      </w:tr>
      <w:tr w14:paraId="5DD8C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620" w:type="dxa"/>
            <w:vMerge w:val="continue"/>
            <w:tcBorders>
              <w:left w:val="single" w:color="000000" w:sz="4" w:space="0"/>
            </w:tcBorders>
          </w:tcPr>
          <w:p w14:paraId="2B113BD0">
            <w:pPr>
              <w:pStyle w:val="10"/>
              <w:widowControl/>
              <w:kinsoku w:val="0"/>
              <w:autoSpaceDE w:val="0"/>
              <w:autoSpaceDN w:val="0"/>
              <w:adjustRightInd w:val="0"/>
              <w:snapToGrid w:val="0"/>
              <w:spacing w:before="62" w:after="62" w:line="620" w:lineRule="exact"/>
              <w:ind w:left="791" w:firstLine="480"/>
              <w:jc w:val="left"/>
              <w:textAlignment w:val="baseline"/>
              <w:rPr>
                <w:rFonts w:hint="eastAsia" w:ascii="黑体" w:hAnsi="黑体" w:eastAsia="黑体" w:cs="黑体"/>
                <w:lang w:eastAsia="zh-CN"/>
              </w:rPr>
            </w:pPr>
          </w:p>
        </w:tc>
        <w:tc>
          <w:tcPr>
            <w:tcW w:w="1394" w:type="dxa"/>
            <w:tcBorders>
              <w:left w:val="single" w:color="000000" w:sz="4" w:space="0"/>
              <w:right w:val="single" w:color="000000" w:sz="4" w:space="0"/>
            </w:tcBorders>
            <w:vAlign w:val="center"/>
          </w:tcPr>
          <w:p w14:paraId="4F30650A">
            <w:pPr>
              <w:pStyle w:val="10"/>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lang w:eastAsia="zh-CN"/>
              </w:rPr>
            </w:pPr>
            <w:r>
              <w:rPr>
                <w:rFonts w:hint="eastAsia" w:ascii="黑体" w:hAnsi="黑体" w:eastAsia="黑体" w:cs="黑体"/>
                <w:lang w:eastAsia="zh-CN"/>
              </w:rPr>
              <w:t>1</w:t>
            </w:r>
            <w:r>
              <w:rPr>
                <w:rFonts w:hint="eastAsia" w:ascii="黑体" w:hAnsi="黑体" w:eastAsia="黑体" w:cs="黑体"/>
                <w:lang w:val="en-US" w:eastAsia="zh-CN"/>
              </w:rPr>
              <w:t>7</w:t>
            </w:r>
            <w:r>
              <w:rPr>
                <w:rFonts w:hint="eastAsia" w:ascii="黑体" w:hAnsi="黑体" w:eastAsia="黑体" w:cs="黑体"/>
                <w:lang w:eastAsia="zh-CN"/>
              </w:rPr>
              <w:t>:00-1</w:t>
            </w:r>
            <w:r>
              <w:rPr>
                <w:rFonts w:hint="eastAsia" w:ascii="黑体" w:hAnsi="黑体" w:eastAsia="黑体" w:cs="黑体"/>
                <w:lang w:val="en-US" w:eastAsia="zh-CN"/>
              </w:rPr>
              <w:t>8</w:t>
            </w:r>
            <w:r>
              <w:rPr>
                <w:rFonts w:hint="eastAsia" w:ascii="黑体" w:hAnsi="黑体" w:eastAsia="黑体" w:cs="黑体"/>
                <w:lang w:eastAsia="zh-CN"/>
              </w:rPr>
              <w:t>:00</w:t>
            </w:r>
          </w:p>
        </w:tc>
        <w:tc>
          <w:tcPr>
            <w:tcW w:w="4933" w:type="dxa"/>
            <w:tcBorders>
              <w:left w:val="single" w:color="000000" w:sz="4" w:space="0"/>
              <w:right w:val="single" w:color="000000" w:sz="4" w:space="0"/>
            </w:tcBorders>
            <w:vAlign w:val="center"/>
          </w:tcPr>
          <w:p w14:paraId="0EA11F9B">
            <w:pPr>
              <w:pStyle w:val="10"/>
              <w:widowControl/>
              <w:kinsoku w:val="0"/>
              <w:autoSpaceDE w:val="0"/>
              <w:autoSpaceDN w:val="0"/>
              <w:adjustRightInd w:val="0"/>
              <w:snapToGrid w:val="0"/>
              <w:spacing w:before="62" w:after="62" w:line="620" w:lineRule="exact"/>
              <w:ind w:left="1427" w:hanging="1408" w:firstLineChars="0"/>
              <w:jc w:val="center"/>
              <w:textAlignment w:val="baseline"/>
              <w:rPr>
                <w:rFonts w:hint="eastAsia" w:ascii="黑体" w:hAnsi="黑体" w:eastAsia="黑体" w:cs="黑体"/>
                <w:lang w:eastAsia="zh-CN"/>
              </w:rPr>
            </w:pPr>
            <w:r>
              <w:rPr>
                <w:rFonts w:hint="eastAsia" w:ascii="黑体" w:hAnsi="黑体" w:eastAsia="黑体" w:cs="黑体"/>
                <w:lang w:eastAsia="zh-CN"/>
              </w:rPr>
              <w:t>现场观摩</w:t>
            </w:r>
          </w:p>
        </w:tc>
        <w:tc>
          <w:tcPr>
            <w:tcW w:w="1112" w:type="dxa"/>
            <w:tcBorders>
              <w:left w:val="single" w:color="000000" w:sz="4" w:space="0"/>
              <w:right w:val="single" w:color="000000" w:sz="4" w:space="0"/>
            </w:tcBorders>
            <w:vAlign w:val="center"/>
          </w:tcPr>
          <w:p w14:paraId="56463128">
            <w:pPr>
              <w:pStyle w:val="10"/>
              <w:widowControl/>
              <w:kinsoku w:val="0"/>
              <w:autoSpaceDE w:val="0"/>
              <w:autoSpaceDN w:val="0"/>
              <w:adjustRightInd w:val="0"/>
              <w:snapToGrid w:val="0"/>
              <w:spacing w:before="62" w:after="62" w:line="620" w:lineRule="exact"/>
              <w:ind w:right="111" w:firstLine="0" w:firstLineChars="0"/>
              <w:jc w:val="left"/>
              <w:textAlignment w:val="baseline"/>
              <w:rPr>
                <w:rFonts w:hint="eastAsia" w:ascii="黑体" w:hAnsi="黑体" w:eastAsia="黑体" w:cs="黑体"/>
                <w:lang w:eastAsia="zh-CN"/>
              </w:rPr>
            </w:pPr>
            <w:r>
              <w:rPr>
                <w:rFonts w:hint="eastAsia" w:ascii="黑体" w:hAnsi="黑体" w:eastAsia="黑体" w:cs="黑体"/>
                <w:lang w:eastAsia="zh-CN"/>
              </w:rPr>
              <w:t>施工比赛地点</w:t>
            </w:r>
          </w:p>
        </w:tc>
      </w:tr>
    </w:tbl>
    <w:p w14:paraId="5F4C5124">
      <w:pPr>
        <w:snapToGrid w:val="0"/>
        <w:spacing w:before="62" w:after="62" w:line="560" w:lineRule="exact"/>
        <w:ind w:firstLine="0" w:firstLineChars="0"/>
        <w:rPr>
          <w:sz w:val="30"/>
          <w:szCs w:val="30"/>
        </w:rPr>
      </w:pPr>
    </w:p>
    <w:p w14:paraId="0DD1C88B">
      <w:pPr>
        <w:snapToGrid w:val="0"/>
        <w:spacing w:before="62" w:after="62" w:line="560" w:lineRule="exact"/>
        <w:ind w:firstLine="0" w:firstLineChars="0"/>
        <w:rPr>
          <w:sz w:val="30"/>
          <w:szCs w:val="30"/>
        </w:rPr>
      </w:pPr>
      <w:r>
        <w:rPr>
          <w:rFonts w:hint="eastAsia"/>
          <w:sz w:val="30"/>
          <w:szCs w:val="30"/>
        </w:rPr>
        <w:t>六、竞赛规则</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14:paraId="6751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86" w:hRule="atLeast"/>
        </w:trPr>
        <w:tc>
          <w:tcPr>
            <w:tcW w:w="8319" w:type="dxa"/>
          </w:tcPr>
          <w:p w14:paraId="440736A4">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（一）比赛时间</w:t>
            </w:r>
          </w:p>
          <w:p w14:paraId="63C8099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一、报到时间</w:t>
            </w:r>
          </w:p>
          <w:p w14:paraId="0C25DCA6">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2025年10月16日。</w:t>
            </w:r>
          </w:p>
          <w:p w14:paraId="238E958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二、比赛时间</w:t>
            </w:r>
          </w:p>
          <w:p w14:paraId="300A87D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2024年10月17日。</w:t>
            </w:r>
          </w:p>
          <w:p w14:paraId="1F097D3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三、比赛地点</w:t>
            </w:r>
          </w:p>
          <w:p w14:paraId="4A14D54F">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云南省昆明市安宁市金方街道浸长村浸普路999号，云南农业职业技术学院云安产业学院园林工程实训工场。</w:t>
            </w:r>
          </w:p>
          <w:p w14:paraId="1C4811F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四、比赛项目</w:t>
            </w:r>
          </w:p>
          <w:p w14:paraId="13E6EC08">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本次比赛设立《园林景观设计与施工》赛项为团体赛。</w:t>
            </w:r>
          </w:p>
          <w:p w14:paraId="1CF9AF92">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（二）遵循准则</w:t>
            </w:r>
          </w:p>
          <w:p w14:paraId="31D1448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1.学生必须持本人身份证和参赛证参加比赛。</w:t>
            </w:r>
          </w:p>
          <w:p w14:paraId="443E329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2.参赛选手出场顺序、位置由抽签决定，不得擅自变更、调整。</w:t>
            </w:r>
          </w:p>
          <w:p w14:paraId="21271B34">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3.参赛选手提前15分钟进入赛场，并按照指定位号参加比赛。迟到15分钟者，取消比赛资格；比赛开始15分钟后，选手方可离开赛场。</w:t>
            </w:r>
          </w:p>
          <w:p w14:paraId="744B5FA5">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4.选手在比赛过程中不得擅自离开赛场，如有特殊情况，需经裁判同意。选手若需休息、饮水或去洗手间等，耗用时间计算在比赛时间内。</w:t>
            </w:r>
          </w:p>
          <w:p w14:paraId="0AA14145">
            <w:pPr>
              <w:widowControl/>
              <w:kinsoku w:val="0"/>
              <w:autoSpaceDE w:val="0"/>
              <w:autoSpaceDN w:val="0"/>
              <w:adjustRightInd w:val="0"/>
              <w:snapToGrid w:val="0"/>
              <w:spacing w:before="62" w:after="62" w:line="620" w:lineRule="exact"/>
              <w:ind w:right="14" w:firstLine="480"/>
              <w:textAlignment w:val="baseline"/>
            </w:pPr>
            <w:r>
              <w:rPr>
                <w:rFonts w:hint="eastAsia" w:ascii="黑体" w:hAnsi="黑体" w:eastAsia="黑体" w:cs="黑体"/>
                <w:sz w:val="24"/>
                <w:szCs w:val="24"/>
              </w:rPr>
              <w:t>5.比赛结束时，参赛选手应立即停止操作，不得以任何理由拖延比赛时间。选手操作完成后，在《实际操作现场记录表》上签名确认，方可离开赛场。</w:t>
            </w:r>
          </w:p>
        </w:tc>
      </w:tr>
    </w:tbl>
    <w:p w14:paraId="41535FA7">
      <w:pPr>
        <w:snapToGrid w:val="0"/>
        <w:spacing w:before="62" w:after="62" w:line="560" w:lineRule="exact"/>
        <w:ind w:firstLine="0" w:firstLineChars="0"/>
        <w:rPr>
          <w:sz w:val="30"/>
          <w:szCs w:val="30"/>
        </w:rPr>
      </w:pPr>
    </w:p>
    <w:p w14:paraId="36896442">
      <w:pPr>
        <w:snapToGrid w:val="0"/>
        <w:spacing w:before="62" w:after="62" w:line="560" w:lineRule="exact"/>
        <w:ind w:firstLine="0" w:firstLineChars="0"/>
        <w:rPr>
          <w:sz w:val="30"/>
          <w:szCs w:val="30"/>
        </w:rPr>
      </w:pPr>
      <w:r>
        <w:rPr>
          <w:rFonts w:hint="eastAsia"/>
          <w:sz w:val="30"/>
          <w:szCs w:val="30"/>
        </w:rPr>
        <w:t>七、技术规范</w:t>
      </w:r>
    </w:p>
    <w:tbl>
      <w:tblPr>
        <w:tblStyle w:val="8"/>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14:paraId="1110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0" w:hRule="atLeast"/>
        </w:trPr>
        <w:tc>
          <w:tcPr>
            <w:tcW w:w="8343" w:type="dxa"/>
          </w:tcPr>
          <w:p w14:paraId="4FD8029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1.按照教育部高职园林技术、园林工程技术、风景园林设计、环境艺术设计等专业教学标准、第</w:t>
            </w:r>
            <w:r>
              <w:rPr>
                <w:rFonts w:ascii="黑体" w:hAnsi="黑体" w:eastAsia="黑体" w:cs="黑体"/>
                <w:sz w:val="24"/>
                <w:szCs w:val="24"/>
              </w:rPr>
              <w:t>47</w:t>
            </w:r>
            <w:r>
              <w:rPr>
                <w:rFonts w:hint="eastAsia" w:ascii="黑体" w:hAnsi="黑体" w:eastAsia="黑体" w:cs="黑体"/>
                <w:sz w:val="24"/>
                <w:szCs w:val="24"/>
              </w:rPr>
              <w:t>届世界技能大赛园艺赛项和2024年全国职业院校技能大赛高职组“园林景观设计与施工”赛项等规定的知识和技能要求。</w:t>
            </w:r>
          </w:p>
          <w:p w14:paraId="2CE8CADA">
            <w:pPr>
              <w:pStyle w:val="2"/>
              <w:spacing w:before="62" w:after="62"/>
              <w:ind w:firstLine="480"/>
              <w:rPr>
                <w:rFonts w:hint="eastAsia" w:ascii="黑体" w:hAnsi="黑体" w:eastAsia="黑体" w:cs="黑体"/>
                <w:sz w:val="24"/>
                <w:szCs w:val="24"/>
              </w:rPr>
            </w:pPr>
            <w:r>
              <w:rPr>
                <w:rFonts w:hint="eastAsia" w:ascii="黑体" w:hAnsi="黑体" w:eastAsia="黑体" w:cs="黑体"/>
                <w:sz w:val="24"/>
                <w:szCs w:val="24"/>
              </w:rPr>
              <w:t>2.国家标准：《建设工程项目管理规范》（GB/T50326-2017）、《普通混凝土小型砌块》（GB/T8239-2014）、《砌体结构工程施工规范》（GB50924-2014）、《砌体结构工程施工质量验收规范》GB50203-2019、《建设工程工程量清单计价规范》（GB50500-2018）、《总图制图标准》</w:t>
            </w:r>
            <w:r>
              <w:rPr>
                <w:rFonts w:ascii="黑体" w:hAnsi="黑体" w:eastAsia="黑体" w:cs="黑体"/>
                <w:sz w:val="24"/>
                <w:szCs w:val="24"/>
              </w:rPr>
              <w:t>(GB/T 50103-2010)</w:t>
            </w:r>
            <w:r>
              <w:rPr>
                <w:rFonts w:hint="eastAsia" w:ascii="黑体" w:hAnsi="黑体" w:eastAsia="黑体" w:cs="黑体"/>
                <w:sz w:val="24"/>
                <w:szCs w:val="24"/>
              </w:rPr>
              <w:t>、《建筑制图标准》</w:t>
            </w:r>
            <w:r>
              <w:rPr>
                <w:rFonts w:ascii="黑体" w:hAnsi="黑体" w:eastAsia="黑体" w:cs="黑体"/>
                <w:sz w:val="24"/>
                <w:szCs w:val="24"/>
              </w:rPr>
              <w:t>(GB/T 50104-2010)</w:t>
            </w:r>
            <w:r>
              <w:rPr>
                <w:rFonts w:hint="eastAsia" w:ascii="黑体" w:hAnsi="黑体" w:eastAsia="黑体" w:cs="黑体"/>
                <w:sz w:val="24"/>
                <w:szCs w:val="24"/>
              </w:rPr>
              <w:t>、《公园设计规范》</w:t>
            </w:r>
            <w:r>
              <w:rPr>
                <w:rFonts w:ascii="黑体" w:hAnsi="黑体" w:eastAsia="黑体" w:cs="黑体"/>
                <w:sz w:val="24"/>
                <w:szCs w:val="24"/>
              </w:rPr>
              <w:t>(GB 51192-2016)</w:t>
            </w:r>
            <w:r>
              <w:rPr>
                <w:rFonts w:hint="eastAsia" w:ascii="黑体" w:hAnsi="黑体" w:eastAsia="黑体" w:cs="黑体"/>
                <w:sz w:val="24"/>
                <w:szCs w:val="24"/>
              </w:rPr>
              <w:t>、《城市道路交通规划设计规范》</w:t>
            </w:r>
            <w:r>
              <w:rPr>
                <w:rFonts w:ascii="黑体" w:hAnsi="黑体" w:eastAsia="黑体" w:cs="黑体"/>
                <w:sz w:val="24"/>
                <w:szCs w:val="24"/>
              </w:rPr>
              <w:t>(GB 50220-1995)</w:t>
            </w:r>
            <w:r>
              <w:rPr>
                <w:rFonts w:hint="eastAsia" w:ascii="黑体" w:hAnsi="黑体" w:eastAsia="黑体" w:cs="黑体"/>
                <w:sz w:val="24"/>
                <w:szCs w:val="24"/>
              </w:rPr>
              <w:t>。</w:t>
            </w:r>
          </w:p>
          <w:p w14:paraId="79BADF2A">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3.行业标准：《园林绿化工程施工及验收规范》（CJJ82-2012）、《喷泉水景工程技术规程》（CJJ/T222-2015）、《建设工程施工现场环境与卫生标准》（JGJ146-2013）、《风景园林图例图示标准》</w:t>
            </w:r>
            <w:r>
              <w:rPr>
                <w:rFonts w:ascii="黑体" w:hAnsi="黑体" w:eastAsia="黑体" w:cs="黑体"/>
                <w:sz w:val="24"/>
                <w:szCs w:val="24"/>
              </w:rPr>
              <w:t>(CJJ 67-2015)</w:t>
            </w:r>
            <w:r>
              <w:rPr>
                <w:rFonts w:hint="eastAsia" w:ascii="黑体" w:hAnsi="黑体" w:eastAsia="黑体" w:cs="黑体"/>
                <w:sz w:val="24"/>
                <w:szCs w:val="24"/>
              </w:rPr>
              <w:t>、《城市用地竖向规划规范》</w:t>
            </w:r>
            <w:r>
              <w:rPr>
                <w:rFonts w:ascii="黑体" w:hAnsi="黑体" w:eastAsia="黑体" w:cs="黑体"/>
                <w:sz w:val="24"/>
                <w:szCs w:val="24"/>
              </w:rPr>
              <w:t>(CJJ 83-1999)</w:t>
            </w:r>
            <w:r>
              <w:rPr>
                <w:rFonts w:hint="eastAsia" w:ascii="黑体" w:hAnsi="黑体" w:eastAsia="黑体" w:cs="黑体"/>
                <w:sz w:val="24"/>
                <w:szCs w:val="24"/>
              </w:rPr>
              <w:t>、《城市绿地分类标准》</w:t>
            </w:r>
            <w:r>
              <w:rPr>
                <w:rFonts w:ascii="黑体" w:hAnsi="黑体" w:eastAsia="黑体" w:cs="黑体"/>
                <w:sz w:val="24"/>
                <w:szCs w:val="24"/>
              </w:rPr>
              <w:t>(CJJT 85-2003)</w:t>
            </w:r>
            <w:r>
              <w:rPr>
                <w:rFonts w:hint="eastAsia" w:ascii="黑体" w:hAnsi="黑体" w:eastAsia="黑体" w:cs="黑体"/>
                <w:sz w:val="24"/>
                <w:szCs w:val="24"/>
              </w:rPr>
              <w:t>。</w:t>
            </w:r>
          </w:p>
        </w:tc>
      </w:tr>
    </w:tbl>
    <w:p w14:paraId="37FB297F">
      <w:pPr>
        <w:snapToGrid w:val="0"/>
        <w:spacing w:before="62" w:after="62" w:line="560" w:lineRule="exact"/>
        <w:ind w:firstLine="0" w:firstLineChars="0"/>
        <w:rPr>
          <w:sz w:val="30"/>
          <w:szCs w:val="30"/>
        </w:rPr>
      </w:pPr>
      <w:r>
        <w:rPr>
          <w:rFonts w:hint="eastAsia"/>
          <w:sz w:val="30"/>
          <w:szCs w:val="30"/>
        </w:rPr>
        <w:t>八、技术环境</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14:paraId="72D7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0" w:hRule="atLeast"/>
        </w:trPr>
        <w:tc>
          <w:tcPr>
            <w:tcW w:w="8319" w:type="dxa"/>
          </w:tcPr>
          <w:p w14:paraId="3973C15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(一)施工场地</w:t>
            </w:r>
          </w:p>
          <w:p w14:paraId="28CDA031">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1.每个工位30m</w:t>
            </w:r>
            <w:r>
              <w:rPr>
                <w:rFonts w:hint="eastAsia" w:ascii="黑体" w:hAnsi="黑体" w:eastAsia="黑体" w:cs="黑体"/>
                <w:sz w:val="24"/>
                <w:szCs w:val="24"/>
                <w:vertAlign w:val="superscript"/>
              </w:rPr>
              <w:t>2</w:t>
            </w:r>
            <w:r>
              <w:rPr>
                <w:rFonts w:hint="eastAsia" w:ascii="黑体" w:hAnsi="黑体" w:eastAsia="黑体" w:cs="黑体"/>
                <w:sz w:val="24"/>
                <w:szCs w:val="24"/>
              </w:rPr>
              <w:t>（5m×6m）施工区；</w:t>
            </w:r>
          </w:p>
          <w:p w14:paraId="7387535C">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2.每个工位铺设30cm厚细沙；</w:t>
            </w:r>
          </w:p>
          <w:p w14:paraId="2995EF4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3.每个工位配备220V和380V的电源插座各一只，且插座有不少于2个以上的多功能插孔；</w:t>
            </w:r>
          </w:p>
          <w:p w14:paraId="78093E32">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4.每个工位有自来水接口、照明设施及电子监控设备；</w:t>
            </w:r>
          </w:p>
          <w:p w14:paraId="15A4085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5.场地内配有公共道路，比赛环境安全、安静无干扰；</w:t>
            </w:r>
          </w:p>
          <w:p w14:paraId="50E0B4F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6.赛场有志愿服务人员、配备医护人员、医疗室，同时有治安人员维护比赛现场秩序与卫生。</w:t>
            </w:r>
          </w:p>
          <w:p w14:paraId="578B4CE2">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（二）设备与工具</w:t>
            </w:r>
          </w:p>
          <w:p w14:paraId="16115C30">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1.承办方统一提供的设备与工具（见附表1）。</w:t>
            </w:r>
          </w:p>
          <w:p w14:paraId="330A47FF">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2.选手自备的辅助工具（见附表2）。</w:t>
            </w:r>
          </w:p>
          <w:p w14:paraId="2C78E212">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以上清单并非硬性规定，按照各团队需求，还可以携带清单之外的其他工具，但有压缩泵的、危险性较高的电动工具（例如：气钉枪）一律不得带入比赛场地。</w:t>
            </w:r>
          </w:p>
          <w:p w14:paraId="34859D9D">
            <w:pPr>
              <w:widowControl/>
              <w:kinsoku w:val="0"/>
              <w:autoSpaceDE w:val="0"/>
              <w:autoSpaceDN w:val="0"/>
              <w:adjustRightInd w:val="0"/>
              <w:snapToGrid w:val="0"/>
              <w:spacing w:before="62" w:after="62" w:line="620" w:lineRule="exact"/>
              <w:ind w:firstLine="480"/>
              <w:textAlignment w:val="baseline"/>
              <w:outlineLvl w:val="1"/>
              <w:rPr>
                <w:rFonts w:hint="eastAsia" w:ascii="黑体" w:hAnsi="黑体" w:eastAsia="黑体" w:cs="黑体"/>
                <w:sz w:val="24"/>
                <w:szCs w:val="24"/>
              </w:rPr>
            </w:pPr>
            <w:r>
              <w:rPr>
                <w:rFonts w:hint="eastAsia" w:ascii="黑体" w:hAnsi="黑体" w:eastAsia="黑体" w:cs="黑体"/>
                <w:sz w:val="24"/>
                <w:szCs w:val="24"/>
              </w:rPr>
              <w:t>（三）材料</w:t>
            </w:r>
          </w:p>
          <w:p w14:paraId="04FC580C">
            <w:pPr>
              <w:widowControl/>
              <w:kinsoku w:val="0"/>
              <w:autoSpaceDE w:val="0"/>
              <w:autoSpaceDN w:val="0"/>
              <w:adjustRightInd w:val="0"/>
              <w:snapToGrid w:val="0"/>
              <w:spacing w:before="62" w:after="62" w:line="620" w:lineRule="exact"/>
              <w:ind w:right="11" w:firstLine="480"/>
              <w:textAlignment w:val="baseline"/>
              <w:rPr>
                <w:rFonts w:hint="eastAsia" w:ascii="黑体" w:hAnsi="黑体" w:eastAsia="黑体" w:cs="黑体"/>
                <w:sz w:val="24"/>
                <w:szCs w:val="24"/>
              </w:rPr>
            </w:pPr>
            <w:r>
              <w:rPr>
                <w:rFonts w:hint="eastAsia" w:ascii="黑体" w:hAnsi="黑体" w:eastAsia="黑体" w:cs="黑体"/>
                <w:sz w:val="24"/>
                <w:szCs w:val="24"/>
              </w:rPr>
              <w:t>竞赛承办方统一提供园林植物、石材等施工材料（见附表3）。为便于拆除，铺装过程不使用水泥。</w:t>
            </w:r>
            <w:bookmarkStart w:id="0" w:name="_GoBack"/>
            <w:bookmarkEnd w:id="0"/>
          </w:p>
          <w:p w14:paraId="5FCA66D3">
            <w:pPr>
              <w:widowControl/>
              <w:kinsoku w:val="0"/>
              <w:autoSpaceDE w:val="0"/>
              <w:autoSpaceDN w:val="0"/>
              <w:adjustRightInd w:val="0"/>
              <w:snapToGrid w:val="0"/>
              <w:spacing w:before="62" w:after="62" w:line="620" w:lineRule="exact"/>
              <w:ind w:right="11" w:firstLine="480"/>
              <w:textAlignment w:val="baseline"/>
              <w:rPr>
                <w:rFonts w:hint="eastAsia" w:ascii="黑体" w:hAnsi="黑体" w:eastAsia="黑体" w:cs="黑体"/>
                <w:sz w:val="24"/>
                <w:szCs w:val="24"/>
              </w:rPr>
            </w:pPr>
            <w:r>
              <w:rPr>
                <w:rFonts w:hint="eastAsia" w:ascii="黑体" w:hAnsi="黑体" w:eastAsia="黑体" w:cs="黑体"/>
                <w:sz w:val="24"/>
                <w:szCs w:val="24"/>
              </w:rPr>
              <w:t>按照各团队需求，还可以携带清单之外的其他材料，但主要项目（木作、水景、砌筑、铺装、植物种植容器/池）不能携带成品进入施工赛场。</w:t>
            </w:r>
          </w:p>
        </w:tc>
      </w:tr>
    </w:tbl>
    <w:p w14:paraId="547FBCB7">
      <w:pPr>
        <w:snapToGrid w:val="0"/>
        <w:spacing w:before="62" w:after="62" w:line="560" w:lineRule="exact"/>
        <w:ind w:firstLine="0" w:firstLineChars="0"/>
        <w:rPr>
          <w:sz w:val="30"/>
          <w:szCs w:val="30"/>
        </w:rPr>
      </w:pPr>
      <w:r>
        <w:rPr>
          <w:rFonts w:hint="eastAsia"/>
          <w:sz w:val="30"/>
          <w:szCs w:val="30"/>
        </w:rPr>
        <w:t>九、竞赛样卷</w:t>
      </w:r>
    </w:p>
    <w:tbl>
      <w:tblPr>
        <w:tblStyle w:val="8"/>
        <w:tblW w:w="0" w:type="auto"/>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4"/>
      </w:tblGrid>
      <w:tr w14:paraId="2633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2" w:type="dxa"/>
          </w:tcPr>
          <w:p w14:paraId="4377A4E7">
            <w:pPr>
              <w:widowControl/>
              <w:spacing w:before="62" w:after="62"/>
              <w:ind w:firstLine="480"/>
              <w:jc w:val="left"/>
              <w:rPr>
                <w:rFonts w:hint="eastAsia" w:ascii="黑体" w:hAnsi="黑体" w:eastAsia="黑体" w:cs="黑体"/>
                <w:sz w:val="24"/>
                <w:szCs w:val="24"/>
              </w:rPr>
            </w:pPr>
            <w:r>
              <w:rPr>
                <w:rFonts w:hint="eastAsia" w:ascii="黑体" w:hAnsi="黑体" w:eastAsia="黑体" w:cs="黑体"/>
                <w:sz w:val="24"/>
                <w:szCs w:val="24"/>
              </w:rPr>
              <w:t>（1）样卷准备</w:t>
            </w:r>
          </w:p>
          <w:p w14:paraId="5FFE0563">
            <w:pPr>
              <w:widowControl/>
              <w:spacing w:before="62" w:after="62"/>
              <w:ind w:firstLine="480"/>
              <w:jc w:val="left"/>
              <w:rPr>
                <w:rFonts w:hint="eastAsia" w:ascii="黑体" w:hAnsi="黑体" w:eastAsia="黑体" w:cs="黑体"/>
                <w:sz w:val="24"/>
                <w:szCs w:val="24"/>
              </w:rPr>
            </w:pPr>
            <w:r>
              <w:rPr>
                <w:rFonts w:hint="eastAsia" w:ascii="黑体" w:hAnsi="黑体" w:eastAsia="黑体" w:cs="黑体"/>
                <w:sz w:val="24"/>
                <w:szCs w:val="24"/>
              </w:rPr>
              <w:t>专家组负责相应赛项赛题的设计与编制工作。赛项专家组根据赛项的特点和竞赛规程的具体内容编制赛题，题型和命题范围以正式公布的赛项规程为依据，并结合技术技能人才培养要求和职业岗位要求，适度增加相应专业领域的新知识、新技术、新技能等相关内容。赛题全部公开，公开方式为赛题库公开，每个赛项需提前5天以上公布5套赛题，且各套赛题内容重复率不高于70%。</w:t>
            </w:r>
          </w:p>
          <w:p w14:paraId="2F218E24">
            <w:pPr>
              <w:widowControl/>
              <w:spacing w:before="62" w:after="62"/>
              <w:ind w:firstLine="480"/>
              <w:jc w:val="left"/>
              <w:rPr>
                <w:rFonts w:hint="eastAsia" w:ascii="黑体" w:hAnsi="黑体" w:eastAsia="黑体" w:cs="黑体"/>
                <w:sz w:val="24"/>
                <w:szCs w:val="24"/>
              </w:rPr>
            </w:pPr>
            <w:r>
              <w:rPr>
                <w:rFonts w:hint="eastAsia" w:ascii="黑体" w:hAnsi="黑体" w:eastAsia="黑体" w:cs="黑体"/>
                <w:sz w:val="24"/>
                <w:szCs w:val="24"/>
              </w:rPr>
              <w:t>参赛队伍可根据公开赛题，在此基础上自行二次设计，设计主题自定。设计资料提前拷贝至自带</w:t>
            </w:r>
            <w:r>
              <w:rPr>
                <w:rFonts w:ascii="黑体" w:hAnsi="黑体" w:eastAsia="黑体" w:cs="黑体"/>
                <w:sz w:val="24"/>
                <w:szCs w:val="24"/>
              </w:rPr>
              <w:t xml:space="preserve">U </w:t>
            </w:r>
            <w:r>
              <w:rPr>
                <w:rFonts w:hint="eastAsia" w:ascii="黑体" w:hAnsi="黑体" w:eastAsia="黑体" w:cs="黑体"/>
                <w:sz w:val="24"/>
                <w:szCs w:val="24"/>
              </w:rPr>
              <w:t xml:space="preserve">盘，但作品不得出现任何反映作者、指导老师及学校的相关信息，违者将取消比赛资格。 </w:t>
            </w:r>
          </w:p>
          <w:p w14:paraId="3556D97D">
            <w:pPr>
              <w:widowControl/>
              <w:spacing w:before="62" w:after="62"/>
              <w:ind w:firstLine="480"/>
              <w:jc w:val="left"/>
              <w:rPr>
                <w:rFonts w:hint="eastAsia"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（2）赛卷准备</w:t>
            </w:r>
          </w:p>
          <w:p w14:paraId="5FE26527">
            <w:pPr>
              <w:widowControl/>
              <w:spacing w:before="62" w:after="62"/>
              <w:ind w:firstLine="480"/>
              <w:jc w:val="left"/>
              <w:rPr>
                <w:rFonts w:hint="eastAsia" w:ascii="黑体" w:hAnsi="黑体" w:eastAsia="黑体" w:cs="黑体"/>
                <w:sz w:val="24"/>
                <w:szCs w:val="24"/>
              </w:rPr>
            </w:pPr>
            <w:r>
              <w:rPr>
                <w:rFonts w:hint="eastAsia" w:ascii="黑体" w:hAnsi="黑体" w:eastAsia="黑体" w:cs="黑体"/>
                <w:sz w:val="24"/>
                <w:szCs w:val="24"/>
              </w:rPr>
              <w:t>正式比赛试题由公开题和应变题组成。其中公开题是从5套赛题库中抽取的原题，总分值不低于70%。应变题由专家工作组从赛题库中选取赛题修改而成，总分值不超过30%，应变题用于考查参赛选手的临场发挥能力。正式比赛试题赛前不予公开。比赛前三天内，在监督仲裁组监督下，由裁判长从公开的5套题库中抽取2套赛卷，赛项专家组在监督仲裁组监督下，在封闭环境修改应变题，组成两套正式比赛试题(一套备用)。</w:t>
            </w:r>
          </w:p>
          <w:p w14:paraId="0B4F73B8">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样卷提供图纸如下：</w:t>
            </w:r>
          </w:p>
          <w:p w14:paraId="02171890">
            <w:pPr>
              <w:widowControl/>
              <w:kinsoku w:val="0"/>
              <w:autoSpaceDE w:val="0"/>
              <w:autoSpaceDN w:val="0"/>
              <w:adjustRightInd w:val="0"/>
              <w:snapToGrid w:val="0"/>
              <w:spacing w:before="62" w:after="62" w:line="240" w:lineRule="auto"/>
              <w:ind w:right="14" w:firstLine="0" w:firstLineChars="0"/>
              <w:textAlignment w:val="baseline"/>
              <w:rPr>
                <w:rFonts w:hint="eastAsia" w:ascii="黑体" w:hAnsi="黑体" w:eastAsia="黑体" w:cs="黑体"/>
                <w:sz w:val="24"/>
                <w:szCs w:val="24"/>
              </w:rPr>
            </w:pPr>
          </w:p>
          <w:p w14:paraId="4B160110">
            <w:pPr>
              <w:spacing w:before="62" w:after="62" w:line="240" w:lineRule="auto"/>
              <w:ind w:firstLine="0" w:firstLineChars="0"/>
            </w:pPr>
            <w:r>
              <w:drawing>
                <wp:inline distT="0" distB="0" distL="114300" distR="114300">
                  <wp:extent cx="5219700" cy="3852545"/>
                  <wp:effectExtent l="0" t="0" r="762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19700" cy="3852545"/>
                          </a:xfrm>
                          <a:prstGeom prst="rect">
                            <a:avLst/>
                          </a:prstGeom>
                          <a:noFill/>
                          <a:ln>
                            <a:noFill/>
                          </a:ln>
                        </pic:spPr>
                      </pic:pic>
                    </a:graphicData>
                  </a:graphic>
                </wp:inline>
              </w:drawing>
            </w:r>
            <w:r>
              <w:rPr>
                <w:sz w:val="21"/>
              </w:rPr>
              <mc:AlternateContent>
                <mc:Choice Requires="wps">
                  <w:drawing>
                    <wp:anchor distT="0" distB="0" distL="114300" distR="114300" simplePos="0" relativeHeight="251660288" behindDoc="0" locked="0" layoutInCell="1" allowOverlap="1">
                      <wp:simplePos x="0" y="0"/>
                      <wp:positionH relativeFrom="column">
                        <wp:posOffset>3870960</wp:posOffset>
                      </wp:positionH>
                      <wp:positionV relativeFrom="paragraph">
                        <wp:posOffset>7350760</wp:posOffset>
                      </wp:positionV>
                      <wp:extent cx="708025" cy="76200"/>
                      <wp:effectExtent l="6350" t="6350" r="9525" b="12700"/>
                      <wp:wrapNone/>
                      <wp:docPr id="3" name="矩形 3"/>
                      <wp:cNvGraphicFramePr/>
                      <a:graphic xmlns:a="http://schemas.openxmlformats.org/drawingml/2006/main">
                        <a:graphicData uri="http://schemas.microsoft.com/office/word/2010/wordprocessingShape">
                          <wps:wsp>
                            <wps:cNvSpPr/>
                            <wps:spPr>
                              <a:xfrm>
                                <a:off x="0" y="0"/>
                                <a:ext cx="708025" cy="76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4.8pt;margin-top:578.8pt;height:6pt;width:55.75pt;z-index:251660288;v-text-anchor:middle;mso-width-relative:page;mso-height-relative:page;" fillcolor="#FFFFFF [3212]" filled="t" stroked="t" coordsize="21600,21600" o:gfxdata="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gLKjZdkAAAANAQAADwAAAAAAAAABACAAAAAiAAAAZHJzL2Rvd25yZXYueG1s&#10;UEsBAhQAFAAAAAgAh07iQDVzXo1pAgAA8gQAAA4AAAAAAAAAAQAgAAAAKAEAAGRycy9lMm9Eb2Mu&#10;eG1sUEsFBgAAAAAGAAYAWQEAAAMGAAAAAA==&#10;">
                      <v:fill on="t" focussize="0,0"/>
                      <v:stroke weight="1pt" color="#FFFFFF [3212]" miterlimit="8" joinstyle="miter"/>
                      <v:imagedata o:title=""/>
                      <o:lock v:ext="edit" aspectratio="f"/>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3858895</wp:posOffset>
                      </wp:positionH>
                      <wp:positionV relativeFrom="paragraph">
                        <wp:posOffset>7307580</wp:posOffset>
                      </wp:positionV>
                      <wp:extent cx="708025" cy="76200"/>
                      <wp:effectExtent l="6350" t="6350" r="9525" b="12700"/>
                      <wp:wrapNone/>
                      <wp:docPr id="5" name="矩形 5"/>
                      <wp:cNvGraphicFramePr/>
                      <a:graphic xmlns:a="http://schemas.openxmlformats.org/drawingml/2006/main">
                        <a:graphicData uri="http://schemas.microsoft.com/office/word/2010/wordprocessingShape">
                          <wps:wsp>
                            <wps:cNvSpPr/>
                            <wps:spPr>
                              <a:xfrm>
                                <a:off x="0" y="0"/>
                                <a:ext cx="708025" cy="76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3.85pt;margin-top:575.4pt;height:6pt;width:55.75pt;z-index:251661312;v-text-anchor:middle;mso-width-relative:page;mso-height-relative:page;" fillcolor="#FFFFFF [3212]" filled="t" stroked="t" coordsize="21600,21600" o:gfxdata="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NLhWtkAAAANAQAADwAAAAAAAAABACAAAAAiAAAAZHJzL2Rvd25yZXYueG1s&#10;UEsBAhQAFAAAAAgAh07iQMb8I7ZpAgAA8gQAAA4AAAAAAAAAAQAgAAAAKAEAAGRycy9lMm9Eb2Mu&#10;eG1sUEsFBgAAAAAGAAYAWQEAAAMGAAAAAA==&#10;">
                      <v:fill on="t" focussize="0,0"/>
                      <v:stroke weight="1pt" color="#FFFFFF [3212]" miterlimit="8" joinstyle="miter"/>
                      <v:imagedata o:title=""/>
                      <o:lock v:ext="edit" aspectratio="f"/>
                    </v:rect>
                  </w:pict>
                </mc:Fallback>
              </mc:AlternateContent>
            </w:r>
          </w:p>
        </w:tc>
      </w:tr>
    </w:tbl>
    <w:p w14:paraId="0472D64B">
      <w:pPr>
        <w:snapToGrid w:val="0"/>
        <w:spacing w:before="62" w:after="62" w:line="560" w:lineRule="exact"/>
        <w:ind w:firstLine="0" w:firstLineChars="0"/>
        <w:rPr>
          <w:sz w:val="30"/>
          <w:szCs w:val="30"/>
        </w:rPr>
      </w:pPr>
    </w:p>
    <w:p w14:paraId="4493B252">
      <w:pPr>
        <w:snapToGrid w:val="0"/>
        <w:spacing w:before="62" w:after="62" w:line="560" w:lineRule="exact"/>
        <w:ind w:firstLine="0" w:firstLineChars="0"/>
        <w:rPr>
          <w:sz w:val="30"/>
          <w:szCs w:val="30"/>
        </w:rPr>
      </w:pPr>
      <w:r>
        <w:rPr>
          <w:rFonts w:hint="eastAsia"/>
          <w:sz w:val="30"/>
          <w:szCs w:val="30"/>
        </w:rPr>
        <w:t>十、赛项安全</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14:paraId="5E329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14:paraId="712CBAA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（一）比赛环境 </w:t>
            </w:r>
          </w:p>
          <w:p w14:paraId="5C022BE1">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1.承办单位应按照大赛执委会要求，在赛前组织专人对比赛现场、住宿场所和交通保障进行考察，及时排除安全隐患。赛场的布置，赛场内的器材、设备，应符合国家有关安全规定。如有必要，也可于赛前进行赛场仿真模拟测试，以便发现可能出现的问题。 </w:t>
            </w:r>
          </w:p>
          <w:p w14:paraId="5A5A3705">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2.赛场周围要设立警戒线，防止无关人员进入发生意外事件。赛场设置警戒线及联网的监控体系，可对赛场进行 24 小时监控。比赛现场内应参照相关职业岗位的要求为选手提供必要的劳动保护。在具有危险性的操作环节，裁判员要严防选手出现错误操作。 </w:t>
            </w:r>
          </w:p>
          <w:p w14:paraId="51FDA451">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3.承办单位应提供保证应急预案实施的条件，必须明确安全制度和预案，并配备急救人员与设施。 </w:t>
            </w:r>
          </w:p>
          <w:p w14:paraId="0A9587AD">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4.承办单位须在赛场管理的关键岗位，增加力量，建立安全管理日志。应制定开放赛场和体验区的人员疏导方案。赛场环境中存在人员密集、车流人流交错的区域，除了设置齐全的指示标志外，须增加引导人员，并开辟备用通道。参赛选手进入赛场、裁判员和工作人员进入工作场所，严禁携带通讯、照相摄录设备，禁止携带记录用具。如确有需要，由赛场统一配置、统一管理。赛项可根据需要配置安检设备对进入赛场重要部位的人员进行安检。 </w:t>
            </w:r>
          </w:p>
          <w:p w14:paraId="2582BFE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5.比赛期间，原则上由组委会统一安排参赛选手和指导教师食宿。承办单位须尊重少数民族的信仰及文化，根据国家相关的民族政策，安排好少数民族选手和教师的饮食起居。 </w:t>
            </w:r>
          </w:p>
          <w:p w14:paraId="2409DD43">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6.比赛期间安排的住宿地应具有宾馆/住宿经营许可资质。以学校宿舍作为住宿地的，大赛期间的住宿、卫生、饮食安全等由组委会和提供宿舍的学校共同负责。赛项的安全管理，除了可以采取必要的安全隔离措施外，应严格遵守国家相关法律法规，保护个人隐私和人身自由。</w:t>
            </w:r>
          </w:p>
          <w:p w14:paraId="297A17FA">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 xml:space="preserve">（二）组队责任 </w:t>
            </w:r>
          </w:p>
          <w:p w14:paraId="4BF693FB">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 xml:space="preserve">1.各学校组织代表队时，须安排为参赛选手购买大赛期间的人身意外伤害保险。 </w:t>
            </w:r>
          </w:p>
          <w:p w14:paraId="4D97ECEF">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 xml:space="preserve">2.各学校代表队组成后，须制定相关管理制度，并对所有选手、指导教师进行安全和纪律等方面的教育。 </w:t>
            </w:r>
          </w:p>
          <w:p w14:paraId="5869641D">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 xml:space="preserve">3.各参赛队伍须加强对参与比赛人员的安全管理，实现与赛场安全管理的衔接。 </w:t>
            </w:r>
          </w:p>
        </w:tc>
      </w:tr>
    </w:tbl>
    <w:p w14:paraId="56DD9A11">
      <w:pPr>
        <w:snapToGrid w:val="0"/>
        <w:spacing w:before="62" w:after="62" w:line="560" w:lineRule="exact"/>
        <w:ind w:firstLine="0" w:firstLineChars="0"/>
        <w:rPr>
          <w:sz w:val="30"/>
          <w:szCs w:val="30"/>
        </w:rPr>
      </w:pPr>
      <w:r>
        <w:rPr>
          <w:rFonts w:hint="eastAsia"/>
          <w:sz w:val="30"/>
          <w:szCs w:val="30"/>
        </w:rPr>
        <w:t>十一、成绩评定</w:t>
      </w:r>
    </w:p>
    <w:tbl>
      <w:tblPr>
        <w:tblStyle w:val="8"/>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1"/>
      </w:tblGrid>
      <w:tr w14:paraId="3F51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8331" w:type="dxa"/>
          </w:tcPr>
          <w:p w14:paraId="0E6C6608">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（一）制订原则</w:t>
            </w:r>
          </w:p>
          <w:p w14:paraId="6F92EAF0">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大赛裁判工作按照公平、公正、公开的原则进行。以教育部颁布的职业学校相关专业教学指导方案规定的应知、应会的要求为评分原则，依据参赛选手整体表现综合评定，全面评价参赛选手职业技能水平。</w:t>
            </w:r>
          </w:p>
          <w:p w14:paraId="724BF591">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（二）评分方法</w:t>
            </w:r>
          </w:p>
          <w:p w14:paraId="6718A998">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裁判员选聘。按照职业院校技能大赛专家和裁判工作管理办法相关制度建立2025年云南职业院校技能大赛赛项裁判库。裁判长由大赛裁判委员会向大赛组委会推荐，由大赛组委会聘任。裁判长组建裁判组，执行裁判长负责制。</w:t>
            </w:r>
          </w:p>
          <w:p w14:paraId="382F180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2.裁判员人数</w:t>
            </w:r>
          </w:p>
          <w:p w14:paraId="01BA2016">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总人数为9人（其中裁判长1人，裁判员8人）。</w:t>
            </w:r>
          </w:p>
          <w:p w14:paraId="5C6DA769">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3.成绩审核方法</w:t>
            </w:r>
          </w:p>
          <w:p w14:paraId="75BC428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在比赛中，裁判员按照分工，依据评分标准公平、公正评判，并对每位选手各比赛阶段的评判结果签字确认。成绩提交后由裁判长组织裁判员进行成绩汇总。</w:t>
            </w:r>
          </w:p>
          <w:p w14:paraId="52524981">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4.成绩公布方法</w:t>
            </w:r>
          </w:p>
          <w:p w14:paraId="39DAC6E2">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待作品评判完毕，成绩录入审核无误后，由裁判长在成绩汇总表上签字并通过通告栏进行公布。</w:t>
            </w:r>
          </w:p>
          <w:p w14:paraId="190CB0F5">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（三）评分标准</w:t>
            </w:r>
          </w:p>
          <w:p w14:paraId="16ED6D3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总分</w:t>
            </w:r>
            <w:r>
              <w:rPr>
                <w:rFonts w:ascii="黑体" w:hAnsi="黑体" w:eastAsia="黑体" w:cs="黑体"/>
                <w:sz w:val="24"/>
                <w:szCs w:val="24"/>
              </w:rPr>
              <w:t>100</w:t>
            </w:r>
            <w:r>
              <w:rPr>
                <w:rFonts w:hint="eastAsia" w:ascii="黑体" w:hAnsi="黑体" w:eastAsia="黑体" w:cs="黑体"/>
                <w:sz w:val="24"/>
                <w:szCs w:val="24"/>
              </w:rPr>
              <w:t>分</w:t>
            </w:r>
            <w:r>
              <w:rPr>
                <w:rFonts w:ascii="黑体" w:hAnsi="黑体" w:eastAsia="黑体" w:cs="黑体"/>
                <w:sz w:val="24"/>
                <w:szCs w:val="24"/>
              </w:rPr>
              <w:t>=</w:t>
            </w:r>
            <w:r>
              <w:rPr>
                <w:rFonts w:hint="eastAsia" w:ascii="黑体" w:hAnsi="黑体" w:eastAsia="黑体" w:cs="黑体"/>
                <w:sz w:val="24"/>
                <w:szCs w:val="24"/>
              </w:rPr>
              <w:t>技能操作×9</w:t>
            </w:r>
            <w:r>
              <w:rPr>
                <w:rFonts w:ascii="黑体" w:hAnsi="黑体" w:eastAsia="黑体" w:cs="黑体"/>
                <w:sz w:val="24"/>
                <w:szCs w:val="24"/>
              </w:rPr>
              <w:t>0%+</w:t>
            </w:r>
            <w:r>
              <w:rPr>
                <w:rFonts w:hint="eastAsia" w:ascii="黑体" w:hAnsi="黑体" w:eastAsia="黑体" w:cs="黑体"/>
                <w:sz w:val="24"/>
                <w:szCs w:val="24"/>
              </w:rPr>
              <w:t>展示讲解×1</w:t>
            </w:r>
            <w:r>
              <w:rPr>
                <w:rFonts w:ascii="黑体" w:hAnsi="黑体" w:eastAsia="黑体" w:cs="黑体"/>
                <w:sz w:val="24"/>
                <w:szCs w:val="24"/>
              </w:rPr>
              <w:t>0%</w:t>
            </w:r>
          </w:p>
          <w:p w14:paraId="2D83920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成绩保留到小数点后两位，若出现总成绩并列的情况，以技能操作分高的为胜，如果技能操作分仍相同，以技能操作整体效果分高的参赛队为胜。</w:t>
            </w:r>
          </w:p>
          <w:p w14:paraId="2B85CF1E">
            <w:pPr>
              <w:widowControl/>
              <w:kinsoku w:val="0"/>
              <w:autoSpaceDE w:val="0"/>
              <w:autoSpaceDN w:val="0"/>
              <w:adjustRightInd w:val="0"/>
              <w:snapToGrid w:val="0"/>
              <w:spacing w:before="62" w:after="62" w:line="620" w:lineRule="exact"/>
              <w:ind w:right="14" w:firstLine="0" w:firstLineChars="0"/>
              <w:textAlignment w:val="baseline"/>
              <w:rPr>
                <w:rFonts w:ascii="黑体" w:hAnsi="黑体" w:eastAsia="黑体" w:cs="黑体"/>
                <w:sz w:val="24"/>
                <w:szCs w:val="24"/>
              </w:rPr>
            </w:pPr>
            <w:r>
              <w:rPr>
                <w:rFonts w:hint="eastAsia" w:ascii="黑体" w:hAnsi="黑体" w:eastAsia="黑体" w:cs="黑体"/>
                <w:sz w:val="24"/>
                <w:szCs w:val="24"/>
              </w:rPr>
              <w:t>具体分值如下：</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2"/>
              <w:gridCol w:w="2551"/>
              <w:gridCol w:w="4078"/>
            </w:tblGrid>
            <w:tr w14:paraId="05F7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tcPr>
                <w:p w14:paraId="5EEE014C">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评分指标</w:t>
                  </w:r>
                </w:p>
              </w:tc>
              <w:tc>
                <w:tcPr>
                  <w:tcW w:w="2551" w:type="dxa"/>
                </w:tcPr>
                <w:p w14:paraId="6BB4A4F0">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观测点</w:t>
                  </w:r>
                </w:p>
              </w:tc>
              <w:tc>
                <w:tcPr>
                  <w:tcW w:w="4078" w:type="dxa"/>
                </w:tcPr>
                <w:p w14:paraId="0C286D59">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说明</w:t>
                  </w:r>
                </w:p>
              </w:tc>
            </w:tr>
            <w:tr w14:paraId="2C4D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restart"/>
                  <w:vAlign w:val="center"/>
                </w:tcPr>
                <w:p w14:paraId="6645ABE5">
                  <w:pPr>
                    <w:widowControl/>
                    <w:kinsoku w:val="0"/>
                    <w:autoSpaceDE w:val="0"/>
                    <w:autoSpaceDN w:val="0"/>
                    <w:adjustRightInd w:val="0"/>
                    <w:snapToGrid w:val="0"/>
                    <w:spacing w:before="62" w:after="62" w:line="620" w:lineRule="exact"/>
                    <w:ind w:right="14" w:firstLine="0" w:firstLineChars="0"/>
                    <w:textAlignment w:val="baseline"/>
                    <w:rPr>
                      <w:rFonts w:ascii="黑体" w:hAnsi="黑体" w:eastAsia="黑体" w:cs="黑体"/>
                      <w:sz w:val="24"/>
                      <w:szCs w:val="24"/>
                    </w:rPr>
                  </w:pPr>
                  <w:r>
                    <w:rPr>
                      <w:rFonts w:hint="eastAsia" w:ascii="黑体" w:hAnsi="黑体" w:eastAsia="黑体" w:cs="黑体"/>
                      <w:sz w:val="24"/>
                      <w:szCs w:val="24"/>
                    </w:rPr>
                    <w:t>一、技能水平</w:t>
                  </w:r>
                </w:p>
                <w:p w14:paraId="07E8B3FB">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（权重60%，60分）</w:t>
                  </w:r>
                </w:p>
              </w:tc>
              <w:tc>
                <w:tcPr>
                  <w:tcW w:w="2551" w:type="dxa"/>
                  <w:vAlign w:val="center"/>
                </w:tcPr>
                <w:p w14:paraId="054D4707">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1.操作规范性（15分）</w:t>
                  </w:r>
                </w:p>
              </w:tc>
              <w:tc>
                <w:tcPr>
                  <w:tcW w:w="4078" w:type="dxa"/>
                </w:tcPr>
                <w:p w14:paraId="00AA9CC8">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技能操作规范，符合行业标准和岗位要求</w:t>
                  </w:r>
                </w:p>
              </w:tc>
            </w:tr>
            <w:tr w14:paraId="21A0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2D496CE4">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74E32641">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2.技能熟练度（15分）</w:t>
                  </w:r>
                </w:p>
              </w:tc>
              <w:tc>
                <w:tcPr>
                  <w:tcW w:w="4078" w:type="dxa"/>
                </w:tcPr>
                <w:p w14:paraId="493F6F61">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只是技术应用和软硬件等工具使用熟练，操作流畅，运用精准，任务进度控制和时间利用合理</w:t>
                  </w:r>
                </w:p>
              </w:tc>
            </w:tr>
            <w:tr w14:paraId="20A4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2F811767">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066B8EAE">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3.任务难易度（15分）</w:t>
                  </w:r>
                </w:p>
              </w:tc>
              <w:tc>
                <w:tcPr>
                  <w:tcW w:w="4078" w:type="dxa"/>
                </w:tcPr>
                <w:p w14:paraId="674D6EE4">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工作任务完整，突出关键技术，具有一定挑战性，需要较高技能操作水平和解决复杂问题的综合能力</w:t>
                  </w:r>
                </w:p>
              </w:tc>
            </w:tr>
            <w:tr w14:paraId="38BD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5326C67E">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1199AC50">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4.技术先进性（5分）</w:t>
                  </w:r>
                </w:p>
              </w:tc>
              <w:tc>
                <w:tcPr>
                  <w:tcW w:w="4078" w:type="dxa"/>
                </w:tcPr>
                <w:p w14:paraId="4F74390D">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体现行业新标准、新技术、新场景应用，积极应用前言技术、数字化技术，技术选择恰当</w:t>
                  </w:r>
                </w:p>
              </w:tc>
            </w:tr>
            <w:tr w14:paraId="4720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59D27AF7">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7AC43C27">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5.现场讲解效果（10分）</w:t>
                  </w:r>
                </w:p>
              </w:tc>
              <w:tc>
                <w:tcPr>
                  <w:tcW w:w="4078" w:type="dxa"/>
                </w:tcPr>
                <w:p w14:paraId="5544AFFC">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讲解内容逻辑清晰，重点突出，表达准确</w:t>
                  </w:r>
                </w:p>
              </w:tc>
            </w:tr>
            <w:tr w14:paraId="22EA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restart"/>
                  <w:vAlign w:val="center"/>
                </w:tcPr>
                <w:p w14:paraId="3A65B0C1">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二、职业素养（权重10%，10分）</w:t>
                  </w:r>
                </w:p>
              </w:tc>
              <w:tc>
                <w:tcPr>
                  <w:tcW w:w="2551" w:type="dxa"/>
                  <w:vAlign w:val="center"/>
                </w:tcPr>
                <w:p w14:paraId="6A3AC0BD">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1.职业道德与行为规范（4分）</w:t>
                  </w:r>
                </w:p>
              </w:tc>
              <w:tc>
                <w:tcPr>
                  <w:tcW w:w="4078" w:type="dxa"/>
                </w:tcPr>
                <w:p w14:paraId="6B0110B0">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诚信守法，尊重知识产权，遵守职业伦理，展现良好职业风貌</w:t>
                  </w:r>
                </w:p>
              </w:tc>
            </w:tr>
            <w:tr w14:paraId="0A47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53EE4BFF">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77E66A26">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2.工匠精神（3分）</w:t>
                  </w:r>
                </w:p>
              </w:tc>
              <w:tc>
                <w:tcPr>
                  <w:tcW w:w="4078" w:type="dxa"/>
                </w:tcPr>
                <w:p w14:paraId="5D831EF3">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注重细节，精益求精，追求卓越，体现管理意识和质量意识</w:t>
                  </w:r>
                </w:p>
              </w:tc>
            </w:tr>
            <w:tr w14:paraId="1F2D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61DAF720">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2847615D">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3.安全意识（3分）</w:t>
                  </w:r>
                </w:p>
              </w:tc>
              <w:tc>
                <w:tcPr>
                  <w:tcW w:w="4078" w:type="dxa"/>
                </w:tcPr>
                <w:p w14:paraId="556F0559">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严格遵守安全规范，具备劳动保护和风险防范意识</w:t>
                  </w:r>
                </w:p>
              </w:tc>
            </w:tr>
            <w:tr w14:paraId="323A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restart"/>
                  <w:vAlign w:val="center"/>
                </w:tcPr>
                <w:p w14:paraId="21194386">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三、应用价值（权重10%，10分）</w:t>
                  </w:r>
                </w:p>
              </w:tc>
              <w:tc>
                <w:tcPr>
                  <w:tcW w:w="2551" w:type="dxa"/>
                  <w:vAlign w:val="center"/>
                </w:tcPr>
                <w:p w14:paraId="614028BF">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1.实用性（4分）</w:t>
                  </w:r>
                </w:p>
              </w:tc>
              <w:tc>
                <w:tcPr>
                  <w:tcW w:w="4078" w:type="dxa"/>
                </w:tcPr>
                <w:p w14:paraId="756802A5">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解决方案可直接应用于实践，有效解决生产、生活中的实际问题，契合产业转型升级、乡村振兴、促进高质量就业等国家战略需求</w:t>
                  </w:r>
                </w:p>
              </w:tc>
            </w:tr>
            <w:tr w14:paraId="385A4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161A0A6A">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000E46F9">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2.经济性（3分）</w:t>
                  </w:r>
                </w:p>
              </w:tc>
              <w:tc>
                <w:tcPr>
                  <w:tcW w:w="4078" w:type="dxa"/>
                </w:tcPr>
                <w:p w14:paraId="3EC5765B">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资源利用合理，体现高效益、高质量</w:t>
                  </w:r>
                </w:p>
              </w:tc>
            </w:tr>
            <w:tr w14:paraId="2D11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27D2AB51">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580310E0">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3.可持续性（3分）</w:t>
                  </w:r>
                </w:p>
              </w:tc>
              <w:tc>
                <w:tcPr>
                  <w:tcW w:w="4078" w:type="dxa"/>
                </w:tcPr>
                <w:p w14:paraId="08AB4209">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具有良好环保意识，绿色低碳，符合产业未来发展方向</w:t>
                  </w:r>
                </w:p>
              </w:tc>
            </w:tr>
            <w:tr w14:paraId="1AE8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restart"/>
                  <w:vAlign w:val="center"/>
                </w:tcPr>
                <w:p w14:paraId="2F514EFA">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四、团队合作（权重10%，10分）</w:t>
                  </w:r>
                </w:p>
              </w:tc>
              <w:tc>
                <w:tcPr>
                  <w:tcW w:w="2551" w:type="dxa"/>
                  <w:vAlign w:val="center"/>
                </w:tcPr>
                <w:p w14:paraId="5D4F8DB5">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1.团队精神（5分）</w:t>
                  </w:r>
                </w:p>
              </w:tc>
              <w:tc>
                <w:tcPr>
                  <w:tcW w:w="4078" w:type="dxa"/>
                </w:tcPr>
                <w:p w14:paraId="4FFC3E22">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团队成员能够准确理解共同目标和任务，清楚自己的角色定位和职责，团队成员互相尊重、信任和支持，拥有良好的团队氛围</w:t>
                  </w:r>
                </w:p>
              </w:tc>
            </w:tr>
            <w:tr w14:paraId="3212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0EFEDCAC">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626464C2">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2.沟通协作（5分）</w:t>
                  </w:r>
                </w:p>
              </w:tc>
              <w:tc>
                <w:tcPr>
                  <w:tcW w:w="4078" w:type="dxa"/>
                </w:tcPr>
                <w:p w14:paraId="407A621C">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团队成员在比赛中能够有效沟通过、紧密协作，能够共同应对突发情况</w:t>
                  </w:r>
                </w:p>
              </w:tc>
            </w:tr>
            <w:tr w14:paraId="684E3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restart"/>
                  <w:vAlign w:val="center"/>
                </w:tcPr>
                <w:p w14:paraId="41746CB9">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五、创新创意（权重10%，10分）</w:t>
                  </w:r>
                </w:p>
              </w:tc>
              <w:tc>
                <w:tcPr>
                  <w:tcW w:w="2551" w:type="dxa"/>
                  <w:vAlign w:val="center"/>
                </w:tcPr>
                <w:p w14:paraId="2A7BD4E4">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1.创新意识（4分）</w:t>
                  </w:r>
                </w:p>
              </w:tc>
              <w:tc>
                <w:tcPr>
                  <w:tcW w:w="4078" w:type="dxa"/>
                </w:tcPr>
                <w:p w14:paraId="6BA306F1">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体现原始创意、创新和团队成员创新精神、创新能力</w:t>
                  </w:r>
                </w:p>
              </w:tc>
            </w:tr>
            <w:tr w14:paraId="58BC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52" w:type="dxa"/>
                  <w:vMerge w:val="continue"/>
                  <w:vAlign w:val="center"/>
                </w:tcPr>
                <w:p w14:paraId="261287F5">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p>
              </w:tc>
              <w:tc>
                <w:tcPr>
                  <w:tcW w:w="2551" w:type="dxa"/>
                  <w:vAlign w:val="center"/>
                </w:tcPr>
                <w:p w14:paraId="2FF69254">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2.创新成效（6分）</w:t>
                  </w:r>
                </w:p>
              </w:tc>
              <w:tc>
                <w:tcPr>
                  <w:tcW w:w="4078" w:type="dxa"/>
                </w:tcPr>
                <w:p w14:paraId="21586F91">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在要素整合、新技术应用、工艺流程改进、服务模式优化等方面具有原创性，侧重加工工艺创新、实用技术创新、技术数字化改良、应用性优化、民生类创意等</w:t>
                  </w:r>
                </w:p>
              </w:tc>
            </w:tr>
          </w:tbl>
          <w:p w14:paraId="0955E57E">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color w:val="E54C5E" w:themeColor="accent6"/>
                <w:sz w:val="24"/>
                <w:szCs w:val="24"/>
                <w14:textFill>
                  <w14:solidFill>
                    <w14:schemeClr w14:val="accent6"/>
                  </w14:solidFill>
                </w14:textFill>
              </w:rPr>
            </w:pPr>
          </w:p>
        </w:tc>
      </w:tr>
    </w:tbl>
    <w:p w14:paraId="3FCD6FCF">
      <w:pPr>
        <w:snapToGrid w:val="0"/>
        <w:spacing w:before="62" w:after="62" w:line="560" w:lineRule="exact"/>
        <w:ind w:firstLine="0" w:firstLineChars="0"/>
        <w:rPr>
          <w:sz w:val="30"/>
          <w:szCs w:val="30"/>
        </w:rPr>
      </w:pPr>
      <w:r>
        <w:rPr>
          <w:rFonts w:hint="eastAsia"/>
          <w:sz w:val="30"/>
          <w:szCs w:val="30"/>
        </w:rPr>
        <w:t>十二、奖项设置</w:t>
      </w:r>
    </w:p>
    <w:tbl>
      <w:tblPr>
        <w:tblStyle w:val="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11CD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4747351C">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本赛项根据实际开设团体赛，奖项设一、二、三等奖，获奖比例分别为实际参赛队伍总数的10%、20%、30%（四舍五入取整数）。</w:t>
            </w:r>
          </w:p>
        </w:tc>
      </w:tr>
    </w:tbl>
    <w:p w14:paraId="0D692E3F">
      <w:pPr>
        <w:snapToGrid w:val="0"/>
        <w:spacing w:before="62" w:after="62" w:line="560" w:lineRule="exact"/>
        <w:ind w:firstLine="0" w:firstLineChars="0"/>
        <w:rPr>
          <w:sz w:val="30"/>
          <w:szCs w:val="30"/>
        </w:rPr>
      </w:pPr>
      <w:r>
        <w:rPr>
          <w:rFonts w:hint="eastAsia"/>
          <w:sz w:val="30"/>
          <w:szCs w:val="30"/>
        </w:rPr>
        <w:t>十三、赛项预案</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14:paraId="35BB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trPr>
        <w:tc>
          <w:tcPr>
            <w:tcW w:w="8319" w:type="dxa"/>
          </w:tcPr>
          <w:p w14:paraId="171FDE1D">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（一）安保预案</w:t>
            </w:r>
          </w:p>
          <w:p w14:paraId="3C98ACF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赛场组织与管理员应制定安保须知、安全隐患规避方法及突发事件预案，设立紧急疏散路线及通道等。确保比赛期间所有进入赛点车辆、人员需凭证入内；严禁携带易燃易爆等危险品及比赛严令禁止的物品进入场地；场地设备设施均可安全使用。</w:t>
            </w:r>
          </w:p>
          <w:p w14:paraId="4831576D">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（二）供电预案</w:t>
            </w:r>
          </w:p>
          <w:p w14:paraId="27F3D18F">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每个赛场准备备用电源，主供回路电源供电故障停电后，赛场负责人立即向学校后勤调度室及应急领导组汇报，由供电故障应急领导组下达命令后，由调度室操作投用备用回路。主供回路电源和备用电源同时发生供电故障后，赛项后勤负责人或值班员要立即向应急领导组汇报，供电故障应急领导组立即向供电部门请求提供电力援助。</w:t>
            </w:r>
          </w:p>
          <w:p w14:paraId="4FBB101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（三）医疗预案</w:t>
            </w:r>
          </w:p>
          <w:p w14:paraId="56647A6C">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每个赛场配备一名校级医护人员，如遇轻微受伤情况，立即进行消毒、包扎处理。情况严重的，经过简单处理后立即送往就近医院进行治疗。</w:t>
            </w:r>
          </w:p>
          <w:p w14:paraId="67B9730C">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（四）设备预案</w:t>
            </w:r>
          </w:p>
          <w:p w14:paraId="507F9030">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设计赛场每个参赛队配备一组备用电脑和一名专业电脑技术人员，如遇电脑故障，先由技术人员进行修复处理，如无法短时间内修复完成的，启用备用电脑。</w:t>
            </w:r>
          </w:p>
          <w:p w14:paraId="48CB72C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（五）赛场注意事项</w:t>
            </w:r>
          </w:p>
          <w:p w14:paraId="40001BD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参赛选手在参赛过程中，必须服从场内裁判及工作人员的指挥，严格按照制作规程进行操作，正确使用器具及设备。</w:t>
            </w:r>
          </w:p>
          <w:p w14:paraId="5F398449">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赛场设置警戒线，赛场24小时有人看管；比赛前两天起，赛场实行全方位封闭，除工作人员外，选手和指导老师等非工作人员不准进场。赛场设置联网的监控体系，可以对赛场进行24小时监控。</w:t>
            </w:r>
          </w:p>
          <w:p w14:paraId="3C94DBA8">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裁判员在比赛前，宣读安全注意事项，当现场出现突发事件时，应及时给予处置。</w:t>
            </w:r>
          </w:p>
        </w:tc>
      </w:tr>
    </w:tbl>
    <w:p w14:paraId="7757AA5B">
      <w:pPr>
        <w:snapToGrid w:val="0"/>
        <w:spacing w:before="62" w:after="62" w:line="560" w:lineRule="exact"/>
        <w:ind w:firstLine="0" w:firstLineChars="0"/>
        <w:rPr>
          <w:sz w:val="30"/>
          <w:szCs w:val="30"/>
        </w:rPr>
      </w:pPr>
      <w:r>
        <w:rPr>
          <w:rFonts w:hint="eastAsia"/>
          <w:sz w:val="30"/>
          <w:szCs w:val="30"/>
        </w:rPr>
        <w:t>十四、竞赛须知</w:t>
      </w:r>
    </w:p>
    <w:tbl>
      <w:tblPr>
        <w:tblStyle w:val="8"/>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375F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792F52AD">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（一）大赛人员须知</w:t>
            </w:r>
          </w:p>
          <w:p w14:paraId="2783AD29">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为确保大赛工作安全、有序开展，涉及大赛工作的人员应自查健康状况，一旦发现身体有不适症状，及时向所在单位报告，并尽快就诊检查。</w:t>
            </w:r>
          </w:p>
          <w:p w14:paraId="0196D08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（二）参赛队须知</w:t>
            </w:r>
          </w:p>
          <w:p w14:paraId="11CB256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1.参赛队名称统一使用选手所在学校全称，团体赛不接受跨校组队报名。</w:t>
            </w:r>
          </w:p>
          <w:p w14:paraId="396605F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参赛选手在报名资格审查通过后，原则上不再更换，如备赛过程中，选手因身患疾病或不可抗拒原因不能参赛，所在学校需于开赛10个工作日前出具书面报告并按相关参赛选手资格补充人员并接受审核。竞赛开始后，参赛队不得更换参赛选手，若有参赛队员缺席，则视为自动放弃竞赛团体名次排名。</w:t>
            </w:r>
          </w:p>
          <w:p w14:paraId="1A004A50">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3.参赛队对大赛组委会发布的所有文件都要仔细阅读，确切了解大赛时间安排、评判细节等，以保证顺利参加比赛。</w:t>
            </w:r>
          </w:p>
          <w:p w14:paraId="182F8BDF">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4.参赛队按照大赛赛程安排，凭有效身份证件、大赛组委会颁发的参赛证参加竞赛及相关活动。</w:t>
            </w:r>
          </w:p>
          <w:p w14:paraId="7315B550">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5.参赛队将通过抽签决定比赛场地和比赛顺序。</w:t>
            </w:r>
          </w:p>
          <w:p w14:paraId="22D9ACF5">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6.对于本规则没有规定的行为，裁判组有权做出裁决。在有争议的情况下，大赛仲裁委员会的裁决是最终裁决。</w:t>
            </w:r>
          </w:p>
          <w:p w14:paraId="13CD0641">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7.本竞赛项目的解释权归大赛组委会。</w:t>
            </w:r>
          </w:p>
          <w:p w14:paraId="3B759786">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（三）指导教师、赛项领队须知</w:t>
            </w:r>
          </w:p>
          <w:p w14:paraId="2942B41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1.做好赛前抽签工作，确认比赛出场顺序，协助大赛承办单位组织好本单位选手参赛。</w:t>
            </w:r>
          </w:p>
          <w:p w14:paraId="7F03A9F9">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2.做好本单位参赛选手的业务辅导、心理疏导和思想引导工作，对参赛选手比赛过程报以平和、包容的心态，共同维护竞赛秩序。</w:t>
            </w:r>
          </w:p>
          <w:p w14:paraId="4A9CAA92">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3.自觉遵守竞赛规则，尊重和支持裁判工作，不随意进入比赛现场及其他禁止入内的区域，确保比赛进程的公平、公正、顺畅、高效。</w:t>
            </w:r>
          </w:p>
          <w:p w14:paraId="7748794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4.做好参赛队伍比赛全过程管理和出行安全教育。</w:t>
            </w:r>
          </w:p>
          <w:p w14:paraId="32619B9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（四）参赛选手须知</w:t>
            </w:r>
          </w:p>
          <w:p w14:paraId="659BDBE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1.参赛选手报到后，凭身份证领取参赛证。参赛证为选手参赛的凭据。参赛选手一经确认，中途不得任意更换，否则以作弊论处，其所在参赛队不得参与团体奖项的排名，其个人不得参与个人名次排名。</w:t>
            </w:r>
          </w:p>
          <w:p w14:paraId="27512A01">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2.参赛选手应持参赛有效证件，按竞赛顺序、项目场次和竞赛时间，提前30分钟到各考核项目指定地点接受检录、抽签决定竞赛工位号。</w:t>
            </w:r>
          </w:p>
          <w:p w14:paraId="6FC53B75">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3.检录后的选手，应在工作人员的引进下，提前15分钟到达竞赛现场，从竞赛计时开始，比赛开始15分钟后，选手未到即取消该项目的参赛资格。</w:t>
            </w:r>
          </w:p>
          <w:p w14:paraId="7C86E23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4.参赛选手进入赛场，应佩戴参赛证，做到衣着整洁，符合安全生产及竞赛要求。</w:t>
            </w:r>
          </w:p>
          <w:p w14:paraId="5DA0B18A">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5.比赛需连续进行，比赛一旦计时开始不能无故终止比赛。比赛过程中，参赛选手必须严格遵守竞赛纪律，并接受裁判员的监督和警示。若比赛过程中出现设备问题，由裁判长视具体情况做出裁决，并现场记录予以加时。</w:t>
            </w:r>
          </w:p>
          <w:p w14:paraId="78C7F470">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6.参赛选手应认真阅读各项目竞赛操作须知，自觉遵守赛场纪律，按竞赛规则、项目与赛场要求进行竞赛，不得携带手机等电子或通讯设备进入赛场，不得有任何舞弊行为，否则视情节轻重执行赛场纪律。</w:t>
            </w:r>
          </w:p>
          <w:p w14:paraId="29F96FD0">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7.竞赛期间，竞赛选手应服从裁判评判，若对裁判评分产生异议，不得与裁判争执、顶撞。</w:t>
            </w:r>
          </w:p>
          <w:p w14:paraId="6143539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8.参加技能操作竞赛的选手如提前完成作业，选手应在指定的区域等待，经裁判同意方可离开赛场。</w:t>
            </w:r>
          </w:p>
          <w:p w14:paraId="6EEB415D">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9.竞赛过程中如因竞赛设备或检测仪器发生故障，应及时报告裁判，不得私自处理，否则取消本场次比赛资格。</w:t>
            </w:r>
          </w:p>
          <w:p w14:paraId="523787B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10.技能大赛参赛作品的版权归大赛组委会所有,由大赛组委会统一使用与管理。</w:t>
            </w:r>
          </w:p>
        </w:tc>
      </w:tr>
    </w:tbl>
    <w:p w14:paraId="610DF40A">
      <w:pPr>
        <w:snapToGrid w:val="0"/>
        <w:spacing w:before="62" w:after="62" w:line="560" w:lineRule="exact"/>
        <w:ind w:firstLine="0" w:firstLineChars="0"/>
        <w:rPr>
          <w:sz w:val="30"/>
          <w:szCs w:val="30"/>
        </w:rPr>
      </w:pPr>
      <w:r>
        <w:rPr>
          <w:rFonts w:hint="eastAsia"/>
          <w:sz w:val="30"/>
          <w:szCs w:val="30"/>
        </w:rPr>
        <w:t>十五、申诉与仲裁</w:t>
      </w:r>
    </w:p>
    <w:tbl>
      <w:tblPr>
        <w:tblStyle w:val="8"/>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14:paraId="16DA4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14:paraId="6F58203C">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一）参赛队对不符合赛项规程规定的仪器、设备、工装、材料、物件、计算机软硬件、竞赛使用工具、用品；竞赛执裁、赛场管理、竞赛成绩，以及工作人员的不规范行为等，可向赛项裁判长及大赛仲裁委员会提出申诉。</w:t>
            </w:r>
          </w:p>
          <w:p w14:paraId="22D9A0A0">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（二）申诉主体为参赛队领队。</w:t>
            </w:r>
          </w:p>
          <w:p w14:paraId="11F3D34C">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（三）申诉启动时，参赛队以该赛项领队亲笔签字同意的书面报告递交材料。报告应对申诉事件的现象、发生时间、涉及人员、申诉依据等进行充分、实事求是的叙述。非书面申诉不予受理。</w:t>
            </w:r>
          </w:p>
          <w:p w14:paraId="51FDD4CA">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（四）提出申诉的时间应在比赛结束后（选手赛场比赛内容全部完成）2小时内，超过时效不予受理。</w:t>
            </w:r>
          </w:p>
          <w:p w14:paraId="11D91C7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五）赛项裁判长在接到申诉报告后的2小时内组织复议，并及时将复议结果以书面形式告知申诉方。申诉方对复议结果仍有异议，可由该赛项领队代表参赛学校递交加盖学校公章的书面报告向大赛仲裁委员会提出申诉。大赛仲裁委员会的仲裁结果为最终结果。</w:t>
            </w:r>
          </w:p>
          <w:p w14:paraId="51265F04">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（六）申诉方不得以任何理由拒绝接收仲裁结果；不得以任何理由采取过激行为扰乱赛场秩序；仲裁结果由申诉人签收，不能代收；如在约定时间和地点申诉人离开，视为自行放弃申诉。</w:t>
            </w:r>
          </w:p>
          <w:p w14:paraId="48180F78">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（七）申诉方可随时提出放弃申诉。</w:t>
            </w:r>
          </w:p>
          <w:p w14:paraId="5E164177">
            <w:pPr>
              <w:widowControl/>
              <w:kinsoku w:val="0"/>
              <w:autoSpaceDE w:val="0"/>
              <w:autoSpaceDN w:val="0"/>
              <w:adjustRightInd w:val="0"/>
              <w:snapToGrid w:val="0"/>
              <w:spacing w:before="62" w:after="62" w:line="620" w:lineRule="exact"/>
              <w:ind w:right="14" w:firstLine="480"/>
              <w:textAlignment w:val="baseline"/>
            </w:pPr>
            <w:r>
              <w:rPr>
                <w:rFonts w:hint="eastAsia" w:ascii="黑体" w:hAnsi="黑体" w:eastAsia="黑体" w:cs="黑体"/>
                <w:sz w:val="24"/>
                <w:szCs w:val="24"/>
              </w:rPr>
              <w:t>（八）申诉方必须提供真实的申诉信息并严格遵守申诉程序，提出无理申诉或采取过激行为扰乱赛场秩序的应给予取消参赛成绩等处罚。</w:t>
            </w:r>
          </w:p>
        </w:tc>
      </w:tr>
    </w:tbl>
    <w:p w14:paraId="4F09E732">
      <w:pPr>
        <w:snapToGrid w:val="0"/>
        <w:spacing w:before="62" w:after="62" w:line="560" w:lineRule="exact"/>
        <w:ind w:firstLine="0" w:firstLineChars="0"/>
        <w:rPr>
          <w:sz w:val="30"/>
          <w:szCs w:val="30"/>
        </w:rPr>
      </w:pPr>
      <w:r>
        <w:rPr>
          <w:rFonts w:hint="eastAsia"/>
          <w:sz w:val="30"/>
          <w:szCs w:val="30"/>
        </w:rPr>
        <w:t>十六、竞赛后观摩</w:t>
      </w:r>
    </w:p>
    <w:tbl>
      <w:tblPr>
        <w:tblStyle w:val="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4"/>
      </w:tblGrid>
      <w:tr w14:paraId="2BEC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4" w:type="dxa"/>
          </w:tcPr>
          <w:p w14:paraId="49F73AE9">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（一）观摩内容</w:t>
            </w:r>
          </w:p>
          <w:p w14:paraId="2C9BDD01">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比赛期间参赛队伍操作不予观摩，比赛结束成绩公布后，留有1小时时间供观摩现场施工作品。</w:t>
            </w:r>
          </w:p>
          <w:p w14:paraId="727A397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（二）观摩方法及纪律要求</w:t>
            </w:r>
          </w:p>
          <w:p w14:paraId="55FB7CB8">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参加观摩的代表须遵守大赛纪律，按照大赛组委会的组织有序观摩。</w:t>
            </w:r>
          </w:p>
        </w:tc>
      </w:tr>
    </w:tbl>
    <w:p w14:paraId="2D037F09">
      <w:pPr>
        <w:snapToGrid w:val="0"/>
        <w:spacing w:before="62" w:after="62" w:line="560" w:lineRule="exact"/>
        <w:ind w:firstLine="0" w:firstLineChars="0"/>
        <w:rPr>
          <w:sz w:val="30"/>
          <w:szCs w:val="30"/>
        </w:rPr>
      </w:pPr>
      <w:r>
        <w:rPr>
          <w:rFonts w:hint="eastAsia"/>
          <w:sz w:val="30"/>
          <w:szCs w:val="30"/>
        </w:rPr>
        <w:t>十七、资源转化</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5"/>
      </w:tblGrid>
      <w:tr w14:paraId="5D348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5" w:type="dxa"/>
          </w:tcPr>
          <w:p w14:paraId="7A2D52A9">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按计划完成相关资源转化。制作赛项视频，包括园林景观设计要求、施工的方法要点和具体步骤等；制定大赛设施与设备利用方案；邀请裁判和园林景观设计赛项规程制定专家阐述赛项设计的整体思路与命题依据，竞赛的难度设定、考核关键点和分配原则等；对优秀选手和优秀指导教师进行采访，介绍竞赛的总体认识情况、实训过程中的任务分工、具体措施、协调安排情况等内容。 </w:t>
            </w:r>
          </w:p>
          <w:p w14:paraId="37C907C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（一）上报赛项新闻通稿 </w:t>
            </w:r>
          </w:p>
          <w:p w14:paraId="363CCDE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为了保证新闻的时效性，比赛闭幕式后5日内按照通知要求上报大赛执委会办公室赛项新闻通稿。 </w:t>
            </w:r>
          </w:p>
          <w:p w14:paraId="55B360D2">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（二）上报精彩视频 </w:t>
            </w:r>
          </w:p>
          <w:p w14:paraId="5D962C95">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赛项闭赛后5日内，制作赛项15分钟左右精彩视频和获奖选手10分钟左右风采视频上报赛区执委会和大赛执委会办公室。 </w:t>
            </w:r>
          </w:p>
          <w:p w14:paraId="6539373A">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（三）汇总赛项宣传资料 </w:t>
            </w:r>
          </w:p>
          <w:p w14:paraId="5F08A9E0">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汇总整理赛项比赛图片、视频、宣传册（页）、地方媒体相关报道等资料，统一提交大赛执委会办公室存档。 </w:t>
            </w:r>
          </w:p>
          <w:p w14:paraId="6A69CF3D">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（四）撰写承办单位工作总结报告 </w:t>
            </w:r>
          </w:p>
          <w:p w14:paraId="78404155">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承办院校会同赛项组委对赛项承办工作全程及相关经验进行总结，撰写工作报告提交大赛执委会办公室。总结应紧扣赛项组织及服务保障工作。 </w:t>
            </w:r>
          </w:p>
          <w:p w14:paraId="5417427A">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（五）协助开展资源转化工作 </w:t>
            </w:r>
          </w:p>
          <w:p w14:paraId="1B5E320A">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赛项承办院校有责任协助赛项执委会（申报单位）进行赛项资源转化工作。</w:t>
            </w:r>
          </w:p>
          <w:p w14:paraId="07B27CCF">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（六）保管 </w:t>
            </w:r>
          </w:p>
          <w:p w14:paraId="656AB62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对于赛项所用设备设施，赛项承办院校需充分利用，妥善保管，及时维护。 </w:t>
            </w:r>
          </w:p>
          <w:p w14:paraId="49DA4B9C">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（七）决算 </w:t>
            </w:r>
          </w:p>
          <w:p w14:paraId="569372EB">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会同审计和财务部门及时做好赛项经费使用的决算工作，确保经费使用合理，并配合做好大赛执委会抽审工作。 </w:t>
            </w:r>
          </w:p>
          <w:p w14:paraId="71AC73A4">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 xml:space="preserve">（八）提交材料 </w:t>
            </w:r>
          </w:p>
          <w:p w14:paraId="7FDD4559">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赛项承办院校应于赛项闭赛后30日内将需上报材料按指定方式提交大赛执委会办公室。</w:t>
            </w:r>
          </w:p>
          <w:p w14:paraId="66BA6163">
            <w:pPr>
              <w:widowControl/>
              <w:spacing w:before="62" w:after="62"/>
              <w:ind w:firstLine="480"/>
              <w:jc w:val="left"/>
              <w:rPr>
                <w:rFonts w:hint="eastAsia" w:ascii="黑体" w:hAnsi="黑体" w:eastAsia="黑体" w:cs="黑体"/>
                <w:kern w:val="0"/>
                <w:sz w:val="24"/>
                <w:szCs w:val="24"/>
                <w:lang w:bidi="ar"/>
              </w:rPr>
            </w:pPr>
          </w:p>
          <w:p w14:paraId="17370F20">
            <w:pPr>
              <w:widowControl/>
              <w:spacing w:before="62" w:after="62"/>
              <w:ind w:firstLine="620"/>
              <w:jc w:val="left"/>
              <w:rPr>
                <w:rFonts w:hint="eastAsia" w:ascii="黑体" w:hAnsi="宋体" w:eastAsia="黑体" w:cs="黑体"/>
                <w:kern w:val="0"/>
                <w:sz w:val="31"/>
                <w:szCs w:val="31"/>
                <w:u w:val="single"/>
                <w:lang w:bidi="ar"/>
              </w:rPr>
            </w:pPr>
          </w:p>
          <w:p w14:paraId="364BF147">
            <w:pPr>
              <w:widowControl/>
              <w:spacing w:before="62" w:after="62"/>
              <w:ind w:firstLine="620"/>
              <w:jc w:val="left"/>
              <w:rPr>
                <w:rFonts w:hint="eastAsia" w:ascii="黑体" w:hAnsi="宋体" w:eastAsia="黑体" w:cs="黑体"/>
                <w:kern w:val="0"/>
                <w:sz w:val="31"/>
                <w:szCs w:val="31"/>
                <w:u w:val="single"/>
                <w:lang w:bidi="ar"/>
              </w:rPr>
            </w:pPr>
          </w:p>
          <w:p w14:paraId="1A74028B">
            <w:pPr>
              <w:widowControl/>
              <w:spacing w:before="62" w:after="62"/>
              <w:ind w:firstLine="620"/>
              <w:jc w:val="left"/>
              <w:rPr>
                <w:rFonts w:hint="eastAsia" w:ascii="黑体" w:hAnsi="宋体" w:eastAsia="黑体" w:cs="黑体"/>
                <w:kern w:val="0"/>
                <w:sz w:val="31"/>
                <w:szCs w:val="31"/>
                <w:u w:val="single"/>
                <w:lang w:bidi="ar"/>
              </w:rPr>
            </w:pPr>
          </w:p>
          <w:p w14:paraId="6F92487D">
            <w:pPr>
              <w:widowControl/>
              <w:spacing w:before="62" w:after="62"/>
              <w:ind w:firstLine="620"/>
              <w:jc w:val="left"/>
              <w:rPr>
                <w:rFonts w:hint="eastAsia" w:ascii="黑体" w:hAnsi="宋体" w:eastAsia="黑体" w:cs="黑体"/>
                <w:kern w:val="0"/>
                <w:sz w:val="31"/>
                <w:szCs w:val="31"/>
                <w:u w:val="single"/>
                <w:lang w:bidi="ar"/>
              </w:rPr>
            </w:pPr>
          </w:p>
          <w:p w14:paraId="59F3D3E0">
            <w:pPr>
              <w:widowControl/>
              <w:spacing w:before="62" w:after="62"/>
              <w:ind w:firstLine="620"/>
              <w:jc w:val="left"/>
              <w:rPr>
                <w:rFonts w:hint="eastAsia" w:ascii="黑体" w:hAnsi="宋体" w:eastAsia="黑体" w:cs="黑体"/>
                <w:kern w:val="0"/>
                <w:sz w:val="31"/>
                <w:szCs w:val="31"/>
                <w:u w:val="single"/>
                <w:lang w:bidi="ar"/>
              </w:rPr>
            </w:pPr>
          </w:p>
          <w:p w14:paraId="7A142AF0">
            <w:pPr>
              <w:widowControl/>
              <w:spacing w:before="62" w:after="62"/>
              <w:ind w:firstLine="620"/>
              <w:jc w:val="left"/>
              <w:rPr>
                <w:rFonts w:hint="eastAsia" w:ascii="黑体" w:hAnsi="宋体" w:eastAsia="黑体" w:cs="黑体"/>
                <w:kern w:val="0"/>
                <w:sz w:val="31"/>
                <w:szCs w:val="31"/>
                <w:u w:val="single"/>
                <w:lang w:bidi="ar"/>
              </w:rPr>
            </w:pPr>
          </w:p>
          <w:p w14:paraId="72C02EF9">
            <w:pPr>
              <w:widowControl/>
              <w:spacing w:before="62" w:after="62"/>
              <w:ind w:firstLine="620"/>
              <w:jc w:val="left"/>
              <w:rPr>
                <w:rFonts w:hint="eastAsia" w:ascii="黑体" w:hAnsi="宋体" w:eastAsia="黑体" w:cs="黑体"/>
                <w:kern w:val="0"/>
                <w:sz w:val="31"/>
                <w:szCs w:val="31"/>
                <w:u w:val="single"/>
                <w:lang w:bidi="ar"/>
              </w:rPr>
            </w:pPr>
          </w:p>
          <w:p w14:paraId="51D6F4FA">
            <w:pPr>
              <w:widowControl/>
              <w:spacing w:before="62" w:after="62"/>
              <w:ind w:firstLine="620"/>
              <w:jc w:val="left"/>
              <w:rPr>
                <w:rFonts w:hint="eastAsia" w:ascii="黑体" w:hAnsi="宋体" w:eastAsia="黑体" w:cs="黑体"/>
                <w:kern w:val="0"/>
                <w:sz w:val="31"/>
                <w:szCs w:val="31"/>
                <w:u w:val="single"/>
                <w:lang w:bidi="ar"/>
              </w:rPr>
            </w:pPr>
          </w:p>
          <w:p w14:paraId="3E80F1AA">
            <w:pPr>
              <w:widowControl/>
              <w:spacing w:before="62" w:after="62"/>
              <w:ind w:firstLine="620"/>
              <w:jc w:val="left"/>
              <w:rPr>
                <w:rFonts w:hint="eastAsia" w:ascii="黑体" w:hAnsi="宋体" w:eastAsia="黑体" w:cs="黑体"/>
                <w:kern w:val="0"/>
                <w:sz w:val="31"/>
                <w:szCs w:val="31"/>
                <w:u w:val="single"/>
                <w:lang w:bidi="ar"/>
              </w:rPr>
            </w:pPr>
          </w:p>
          <w:p w14:paraId="73C3CE3D">
            <w:pPr>
              <w:widowControl/>
              <w:spacing w:before="62" w:after="62"/>
              <w:ind w:firstLine="620"/>
              <w:jc w:val="left"/>
              <w:rPr>
                <w:rFonts w:hint="eastAsia" w:ascii="黑体" w:hAnsi="宋体" w:eastAsia="黑体" w:cs="黑体"/>
                <w:kern w:val="0"/>
                <w:sz w:val="31"/>
                <w:szCs w:val="31"/>
                <w:u w:val="single"/>
                <w:lang w:bidi="ar"/>
              </w:rPr>
            </w:pPr>
          </w:p>
          <w:p w14:paraId="39CBDEF0">
            <w:pPr>
              <w:widowControl/>
              <w:spacing w:before="62" w:after="62"/>
              <w:ind w:firstLine="0" w:firstLineChars="0"/>
              <w:jc w:val="left"/>
              <w:rPr>
                <w:rFonts w:hint="eastAsia" w:ascii="黑体" w:hAnsi="宋体" w:eastAsia="黑体" w:cs="黑体"/>
                <w:kern w:val="0"/>
                <w:sz w:val="31"/>
                <w:szCs w:val="31"/>
                <w:u w:val="single"/>
                <w:lang w:bidi="ar"/>
              </w:rPr>
            </w:pPr>
          </w:p>
        </w:tc>
      </w:tr>
    </w:tbl>
    <w:p w14:paraId="428D44C8">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附表1：:承办方提供的设备和工具（每个工位）</w:t>
      </w:r>
    </w:p>
    <w:tbl>
      <w:tblPr>
        <w:tblStyle w:val="11"/>
        <w:tblW w:w="83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6"/>
        <w:gridCol w:w="2145"/>
        <w:gridCol w:w="3399"/>
        <w:gridCol w:w="745"/>
        <w:gridCol w:w="1337"/>
      </w:tblGrid>
      <w:tr w14:paraId="2625D3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726" w:type="dxa"/>
          </w:tcPr>
          <w:p w14:paraId="40948718">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序号</w:t>
            </w:r>
          </w:p>
        </w:tc>
        <w:tc>
          <w:tcPr>
            <w:tcW w:w="2145" w:type="dxa"/>
          </w:tcPr>
          <w:p w14:paraId="1D0F86C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设备名称</w:t>
            </w:r>
          </w:p>
        </w:tc>
        <w:tc>
          <w:tcPr>
            <w:tcW w:w="3399" w:type="dxa"/>
          </w:tcPr>
          <w:p w14:paraId="77B238B6">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技术参数</w:t>
            </w:r>
          </w:p>
        </w:tc>
        <w:tc>
          <w:tcPr>
            <w:tcW w:w="745" w:type="dxa"/>
          </w:tcPr>
          <w:p w14:paraId="0B3695B5">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单位</w:t>
            </w:r>
          </w:p>
        </w:tc>
        <w:tc>
          <w:tcPr>
            <w:tcW w:w="1337" w:type="dxa"/>
          </w:tcPr>
          <w:p w14:paraId="4819F055">
            <w:pPr>
              <w:widowControl/>
              <w:kinsoku w:val="0"/>
              <w:autoSpaceDE w:val="0"/>
              <w:autoSpaceDN w:val="0"/>
              <w:adjustRightInd w:val="0"/>
              <w:snapToGrid w:val="0"/>
              <w:spacing w:before="62" w:after="62" w:line="620" w:lineRule="exact"/>
              <w:ind w:right="14" w:firstLine="480"/>
              <w:jc w:val="center"/>
              <w:textAlignment w:val="baseline"/>
              <w:rPr>
                <w:rFonts w:hint="eastAsia" w:ascii="黑体" w:hAnsi="黑体" w:eastAsia="黑体" w:cs="黑体"/>
                <w:sz w:val="24"/>
                <w:szCs w:val="24"/>
              </w:rPr>
            </w:pPr>
            <w:r>
              <w:rPr>
                <w:rFonts w:hint="eastAsia" w:ascii="黑体" w:hAnsi="黑体" w:eastAsia="黑体" w:cs="黑体"/>
                <w:sz w:val="24"/>
                <w:szCs w:val="24"/>
              </w:rPr>
              <w:t>数量</w:t>
            </w:r>
          </w:p>
        </w:tc>
      </w:tr>
      <w:tr w14:paraId="471657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726" w:type="dxa"/>
          </w:tcPr>
          <w:p w14:paraId="143C5BE3">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2145" w:type="dxa"/>
          </w:tcPr>
          <w:p w14:paraId="6A9DCE35">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拉杆式木工斜切锯</w:t>
            </w:r>
          </w:p>
          <w:p w14:paraId="42FCB0AE">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（配架子）</w:t>
            </w:r>
          </w:p>
        </w:tc>
        <w:tc>
          <w:tcPr>
            <w:tcW w:w="3399" w:type="dxa"/>
          </w:tcPr>
          <w:p w14:paraId="7312CC7D">
            <w:pPr>
              <w:widowControl/>
              <w:kinsoku w:val="0"/>
              <w:autoSpaceDE w:val="0"/>
              <w:autoSpaceDN w:val="0"/>
              <w:adjustRightInd w:val="0"/>
              <w:snapToGrid w:val="0"/>
              <w:spacing w:before="62" w:after="62" w:line="620" w:lineRule="exact"/>
              <w:ind w:right="14" w:firstLine="0" w:firstLineChars="0"/>
              <w:jc w:val="left"/>
              <w:textAlignment w:val="baseline"/>
              <w:rPr>
                <w:rFonts w:hint="eastAsia" w:ascii="黑体" w:hAnsi="黑体" w:eastAsia="黑体" w:cs="黑体"/>
                <w:sz w:val="24"/>
                <w:szCs w:val="24"/>
              </w:rPr>
            </w:pPr>
            <w:r>
              <w:rPr>
                <w:rFonts w:hint="eastAsia" w:ascii="黑体" w:hAnsi="黑体" w:eastAsia="黑体" w:cs="黑体"/>
                <w:sz w:val="24"/>
                <w:szCs w:val="24"/>
              </w:rPr>
              <w:t>功率1675W，锯片转速1900-3000rpm，锯片孔径30mm，锯片直径305mm</w:t>
            </w:r>
          </w:p>
        </w:tc>
        <w:tc>
          <w:tcPr>
            <w:tcW w:w="745" w:type="dxa"/>
            <w:vAlign w:val="center"/>
          </w:tcPr>
          <w:p w14:paraId="333BC9FA">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台</w:t>
            </w:r>
          </w:p>
        </w:tc>
        <w:tc>
          <w:tcPr>
            <w:tcW w:w="1337" w:type="dxa"/>
            <w:vAlign w:val="center"/>
          </w:tcPr>
          <w:p w14:paraId="17C04B52">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w:t>
            </w:r>
          </w:p>
        </w:tc>
      </w:tr>
      <w:tr w14:paraId="16332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726" w:type="dxa"/>
          </w:tcPr>
          <w:p w14:paraId="3F377EA7">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2145" w:type="dxa"/>
          </w:tcPr>
          <w:p w14:paraId="4F02B3EB">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手持石材切割机</w:t>
            </w:r>
          </w:p>
        </w:tc>
        <w:tc>
          <w:tcPr>
            <w:tcW w:w="3399" w:type="dxa"/>
          </w:tcPr>
          <w:p w14:paraId="35BD23C0">
            <w:pPr>
              <w:widowControl/>
              <w:kinsoku w:val="0"/>
              <w:autoSpaceDE w:val="0"/>
              <w:autoSpaceDN w:val="0"/>
              <w:adjustRightInd w:val="0"/>
              <w:snapToGrid w:val="0"/>
              <w:spacing w:before="62" w:after="62" w:line="620" w:lineRule="exact"/>
              <w:ind w:right="14" w:firstLine="0" w:firstLineChars="0"/>
              <w:jc w:val="left"/>
              <w:textAlignment w:val="baseline"/>
              <w:rPr>
                <w:rFonts w:hint="eastAsia" w:ascii="黑体" w:hAnsi="黑体" w:eastAsia="黑体" w:cs="黑体"/>
                <w:sz w:val="24"/>
                <w:szCs w:val="24"/>
              </w:rPr>
            </w:pPr>
            <w:r>
              <w:rPr>
                <w:rFonts w:hint="eastAsia" w:ascii="黑体" w:hAnsi="黑体" w:eastAsia="黑体" w:cs="黑体"/>
                <w:sz w:val="24"/>
                <w:szCs w:val="24"/>
              </w:rPr>
              <w:t>功率1240W，13000r/min，锯深30mm</w:t>
            </w:r>
          </w:p>
        </w:tc>
        <w:tc>
          <w:tcPr>
            <w:tcW w:w="745" w:type="dxa"/>
            <w:vAlign w:val="center"/>
          </w:tcPr>
          <w:p w14:paraId="34114D60">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台</w:t>
            </w:r>
          </w:p>
        </w:tc>
        <w:tc>
          <w:tcPr>
            <w:tcW w:w="1337" w:type="dxa"/>
            <w:vAlign w:val="center"/>
          </w:tcPr>
          <w:p w14:paraId="16D22070">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1（含锯片）</w:t>
            </w:r>
          </w:p>
        </w:tc>
      </w:tr>
      <w:tr w14:paraId="7CDE3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726" w:type="dxa"/>
          </w:tcPr>
          <w:p w14:paraId="42F45B9C">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w:t>
            </w:r>
          </w:p>
        </w:tc>
        <w:tc>
          <w:tcPr>
            <w:tcW w:w="2145" w:type="dxa"/>
          </w:tcPr>
          <w:p w14:paraId="336B4697">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手持木工切割机</w:t>
            </w:r>
          </w:p>
        </w:tc>
        <w:tc>
          <w:tcPr>
            <w:tcW w:w="3399" w:type="dxa"/>
          </w:tcPr>
          <w:p w14:paraId="357FDD4E">
            <w:pPr>
              <w:widowControl/>
              <w:kinsoku w:val="0"/>
              <w:autoSpaceDE w:val="0"/>
              <w:autoSpaceDN w:val="0"/>
              <w:adjustRightInd w:val="0"/>
              <w:snapToGrid w:val="0"/>
              <w:spacing w:before="62" w:after="62" w:line="620" w:lineRule="exact"/>
              <w:ind w:right="14" w:firstLine="0" w:firstLineChars="0"/>
              <w:jc w:val="left"/>
              <w:textAlignment w:val="baseline"/>
              <w:rPr>
                <w:rFonts w:hint="eastAsia" w:ascii="黑体" w:hAnsi="黑体" w:eastAsia="黑体" w:cs="黑体"/>
                <w:sz w:val="24"/>
                <w:szCs w:val="24"/>
              </w:rPr>
            </w:pPr>
            <w:r>
              <w:rPr>
                <w:rFonts w:hint="eastAsia" w:ascii="黑体" w:hAnsi="黑体" w:eastAsia="黑体" w:cs="黑体"/>
                <w:sz w:val="24"/>
                <w:szCs w:val="24"/>
              </w:rPr>
              <w:t>功率1240W，13000r/min，锯深30mm</w:t>
            </w:r>
          </w:p>
        </w:tc>
        <w:tc>
          <w:tcPr>
            <w:tcW w:w="745" w:type="dxa"/>
            <w:vAlign w:val="center"/>
          </w:tcPr>
          <w:p w14:paraId="0559D9FF">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台</w:t>
            </w:r>
          </w:p>
        </w:tc>
        <w:tc>
          <w:tcPr>
            <w:tcW w:w="1337" w:type="dxa"/>
            <w:vAlign w:val="center"/>
          </w:tcPr>
          <w:p w14:paraId="630CCB40">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1（含锯片）</w:t>
            </w:r>
          </w:p>
        </w:tc>
      </w:tr>
      <w:tr w14:paraId="26542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726" w:type="dxa"/>
          </w:tcPr>
          <w:p w14:paraId="742105EE">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w:t>
            </w:r>
          </w:p>
        </w:tc>
        <w:tc>
          <w:tcPr>
            <w:tcW w:w="2145" w:type="dxa"/>
          </w:tcPr>
          <w:p w14:paraId="31ED6017">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手持无线充电钻</w:t>
            </w:r>
          </w:p>
        </w:tc>
        <w:tc>
          <w:tcPr>
            <w:tcW w:w="3399" w:type="dxa"/>
          </w:tcPr>
          <w:p w14:paraId="7A8C2A18">
            <w:pPr>
              <w:widowControl/>
              <w:kinsoku w:val="0"/>
              <w:autoSpaceDE w:val="0"/>
              <w:autoSpaceDN w:val="0"/>
              <w:adjustRightInd w:val="0"/>
              <w:snapToGrid w:val="0"/>
              <w:spacing w:before="62" w:after="62" w:line="620" w:lineRule="exact"/>
              <w:ind w:right="14" w:firstLine="0" w:firstLineChars="0"/>
              <w:jc w:val="left"/>
              <w:textAlignment w:val="baseline"/>
              <w:rPr>
                <w:rFonts w:hint="eastAsia" w:ascii="黑体" w:hAnsi="黑体" w:eastAsia="黑体" w:cs="黑体"/>
                <w:sz w:val="24"/>
                <w:szCs w:val="24"/>
              </w:rPr>
            </w:pPr>
            <w:r>
              <w:rPr>
                <w:rFonts w:hint="eastAsia" w:ascii="黑体" w:hAnsi="黑体" w:eastAsia="黑体" w:cs="黑体"/>
                <w:sz w:val="24"/>
                <w:szCs w:val="24"/>
              </w:rPr>
              <w:t>空载转速0-1200r/min，配3mm钻头4个，十字披头2个</w:t>
            </w:r>
          </w:p>
        </w:tc>
        <w:tc>
          <w:tcPr>
            <w:tcW w:w="745" w:type="dxa"/>
            <w:vAlign w:val="center"/>
          </w:tcPr>
          <w:p w14:paraId="6E37CF74">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台</w:t>
            </w:r>
          </w:p>
        </w:tc>
        <w:tc>
          <w:tcPr>
            <w:tcW w:w="1337" w:type="dxa"/>
            <w:vAlign w:val="center"/>
          </w:tcPr>
          <w:p w14:paraId="6E1E9557">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2</w:t>
            </w:r>
          </w:p>
        </w:tc>
      </w:tr>
      <w:tr w14:paraId="5A039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726" w:type="dxa"/>
          </w:tcPr>
          <w:p w14:paraId="04C4A6EB">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5</w:t>
            </w:r>
          </w:p>
        </w:tc>
        <w:tc>
          <w:tcPr>
            <w:tcW w:w="2145" w:type="dxa"/>
          </w:tcPr>
          <w:p w14:paraId="07443016">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曲线锯</w:t>
            </w:r>
          </w:p>
        </w:tc>
        <w:tc>
          <w:tcPr>
            <w:tcW w:w="3399" w:type="dxa"/>
          </w:tcPr>
          <w:p w14:paraId="5DF55DA2">
            <w:pPr>
              <w:widowControl/>
              <w:kinsoku w:val="0"/>
              <w:autoSpaceDE w:val="0"/>
              <w:autoSpaceDN w:val="0"/>
              <w:adjustRightInd w:val="0"/>
              <w:snapToGrid w:val="0"/>
              <w:spacing w:before="62" w:after="62" w:line="620" w:lineRule="exact"/>
              <w:ind w:right="14" w:firstLine="0" w:firstLineChars="0"/>
              <w:jc w:val="left"/>
              <w:textAlignment w:val="baseline"/>
              <w:rPr>
                <w:rFonts w:hint="eastAsia" w:ascii="黑体" w:hAnsi="黑体" w:eastAsia="黑体" w:cs="黑体"/>
                <w:sz w:val="24"/>
                <w:szCs w:val="24"/>
              </w:rPr>
            </w:pPr>
            <w:r>
              <w:rPr>
                <w:rFonts w:hint="eastAsia" w:ascii="黑体" w:hAnsi="黑体" w:eastAsia="黑体" w:cs="黑体"/>
                <w:sz w:val="24"/>
                <w:szCs w:val="24"/>
              </w:rPr>
              <w:t>500W，冲程长度20mm，斜角度45°,木材锯深85mm</w:t>
            </w:r>
          </w:p>
        </w:tc>
        <w:tc>
          <w:tcPr>
            <w:tcW w:w="745" w:type="dxa"/>
            <w:vAlign w:val="center"/>
          </w:tcPr>
          <w:p w14:paraId="2915FF0C">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台</w:t>
            </w:r>
          </w:p>
        </w:tc>
        <w:tc>
          <w:tcPr>
            <w:tcW w:w="1337" w:type="dxa"/>
            <w:vAlign w:val="center"/>
          </w:tcPr>
          <w:p w14:paraId="4BE6381D">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w:t>
            </w:r>
          </w:p>
        </w:tc>
      </w:tr>
      <w:tr w14:paraId="0EF4E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57055DD8">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6</w:t>
            </w:r>
          </w:p>
        </w:tc>
        <w:tc>
          <w:tcPr>
            <w:tcW w:w="2145" w:type="dxa"/>
          </w:tcPr>
          <w:p w14:paraId="03EE135F">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搅拌机</w:t>
            </w:r>
          </w:p>
        </w:tc>
        <w:tc>
          <w:tcPr>
            <w:tcW w:w="3399" w:type="dxa"/>
          </w:tcPr>
          <w:p w14:paraId="5F69C634">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850W，650r/min</w:t>
            </w:r>
          </w:p>
        </w:tc>
        <w:tc>
          <w:tcPr>
            <w:tcW w:w="745" w:type="dxa"/>
            <w:vAlign w:val="center"/>
          </w:tcPr>
          <w:p w14:paraId="77E5968C">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台</w:t>
            </w:r>
          </w:p>
        </w:tc>
        <w:tc>
          <w:tcPr>
            <w:tcW w:w="1337" w:type="dxa"/>
            <w:vAlign w:val="center"/>
          </w:tcPr>
          <w:p w14:paraId="3DCD7B03">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1</w:t>
            </w:r>
          </w:p>
        </w:tc>
      </w:tr>
      <w:tr w14:paraId="06D35B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64A30B76">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7</w:t>
            </w:r>
          </w:p>
        </w:tc>
        <w:tc>
          <w:tcPr>
            <w:tcW w:w="2145" w:type="dxa"/>
          </w:tcPr>
          <w:p w14:paraId="5DFBA813">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角磨机</w:t>
            </w:r>
          </w:p>
        </w:tc>
        <w:tc>
          <w:tcPr>
            <w:tcW w:w="3399" w:type="dxa"/>
          </w:tcPr>
          <w:p w14:paraId="1A6BC48F">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13000r/min850W</w:t>
            </w:r>
          </w:p>
        </w:tc>
        <w:tc>
          <w:tcPr>
            <w:tcW w:w="745" w:type="dxa"/>
            <w:vAlign w:val="center"/>
          </w:tcPr>
          <w:p w14:paraId="33606BC1">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台</w:t>
            </w:r>
          </w:p>
        </w:tc>
        <w:tc>
          <w:tcPr>
            <w:tcW w:w="1337" w:type="dxa"/>
            <w:vAlign w:val="center"/>
          </w:tcPr>
          <w:p w14:paraId="1512A1BC">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1（含钢材切割锯片和木材抛光片）</w:t>
            </w:r>
          </w:p>
        </w:tc>
      </w:tr>
      <w:tr w14:paraId="4B0946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75786B27">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8</w:t>
            </w:r>
          </w:p>
        </w:tc>
        <w:tc>
          <w:tcPr>
            <w:tcW w:w="2145" w:type="dxa"/>
          </w:tcPr>
          <w:p w14:paraId="27B39BA6">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手推车</w:t>
            </w:r>
          </w:p>
        </w:tc>
        <w:tc>
          <w:tcPr>
            <w:tcW w:w="3399" w:type="dxa"/>
          </w:tcPr>
          <w:p w14:paraId="3066F91C">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90cm长*60cm宽*85cm高</w:t>
            </w:r>
          </w:p>
        </w:tc>
        <w:tc>
          <w:tcPr>
            <w:tcW w:w="745" w:type="dxa"/>
            <w:vAlign w:val="center"/>
          </w:tcPr>
          <w:p w14:paraId="796F7DC9">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台</w:t>
            </w:r>
          </w:p>
        </w:tc>
        <w:tc>
          <w:tcPr>
            <w:tcW w:w="1337" w:type="dxa"/>
            <w:vAlign w:val="center"/>
          </w:tcPr>
          <w:p w14:paraId="45398753">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1</w:t>
            </w:r>
          </w:p>
        </w:tc>
      </w:tr>
      <w:tr w14:paraId="7C8D7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3DCF7FD0">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9</w:t>
            </w:r>
          </w:p>
        </w:tc>
        <w:tc>
          <w:tcPr>
            <w:tcW w:w="2145" w:type="dxa"/>
          </w:tcPr>
          <w:p w14:paraId="5C67142B">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铁锹</w:t>
            </w:r>
          </w:p>
        </w:tc>
        <w:tc>
          <w:tcPr>
            <w:tcW w:w="3399" w:type="dxa"/>
          </w:tcPr>
          <w:p w14:paraId="797DAC01">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1把圆头、1把方头</w:t>
            </w:r>
          </w:p>
        </w:tc>
        <w:tc>
          <w:tcPr>
            <w:tcW w:w="745" w:type="dxa"/>
          </w:tcPr>
          <w:p w14:paraId="653CA244">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1337" w:type="dxa"/>
          </w:tcPr>
          <w:p w14:paraId="6229E6F0">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2</w:t>
            </w:r>
          </w:p>
        </w:tc>
      </w:tr>
      <w:tr w14:paraId="45FD46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59F5D983">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w:t>
            </w:r>
          </w:p>
        </w:tc>
        <w:tc>
          <w:tcPr>
            <w:tcW w:w="2145" w:type="dxa"/>
          </w:tcPr>
          <w:p w14:paraId="47A650E1">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耙子</w:t>
            </w:r>
          </w:p>
        </w:tc>
        <w:tc>
          <w:tcPr>
            <w:tcW w:w="3399" w:type="dxa"/>
          </w:tcPr>
          <w:p w14:paraId="52799CDB">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1把板耙，1把齿耙</w:t>
            </w:r>
          </w:p>
        </w:tc>
        <w:tc>
          <w:tcPr>
            <w:tcW w:w="745" w:type="dxa"/>
          </w:tcPr>
          <w:p w14:paraId="1E836496">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1337" w:type="dxa"/>
          </w:tcPr>
          <w:p w14:paraId="31B69EF7">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2</w:t>
            </w:r>
          </w:p>
        </w:tc>
      </w:tr>
      <w:tr w14:paraId="6CB6C7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208EC448">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11</w:t>
            </w:r>
          </w:p>
        </w:tc>
        <w:tc>
          <w:tcPr>
            <w:tcW w:w="2145" w:type="dxa"/>
          </w:tcPr>
          <w:p w14:paraId="200CC3EB">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插座</w:t>
            </w:r>
          </w:p>
        </w:tc>
        <w:tc>
          <w:tcPr>
            <w:tcW w:w="3399" w:type="dxa"/>
          </w:tcPr>
          <w:p w14:paraId="24C4C5F8">
            <w:pPr>
              <w:widowControl/>
              <w:kinsoku w:val="0"/>
              <w:autoSpaceDE w:val="0"/>
              <w:autoSpaceDN w:val="0"/>
              <w:adjustRightInd w:val="0"/>
              <w:snapToGrid w:val="0"/>
              <w:spacing w:before="62" w:after="62" w:line="620" w:lineRule="exact"/>
              <w:ind w:right="14" w:firstLine="0" w:firstLineChars="0"/>
              <w:jc w:val="left"/>
              <w:textAlignment w:val="baseline"/>
              <w:rPr>
                <w:rFonts w:hint="eastAsia" w:ascii="黑体" w:hAnsi="黑体" w:eastAsia="黑体" w:cs="黑体"/>
                <w:sz w:val="24"/>
                <w:szCs w:val="24"/>
              </w:rPr>
            </w:pPr>
            <w:r>
              <w:rPr>
                <w:rFonts w:hint="eastAsia" w:ascii="黑体" w:hAnsi="黑体" w:eastAsia="黑体" w:cs="黑体"/>
                <w:sz w:val="24"/>
                <w:szCs w:val="24"/>
              </w:rPr>
              <w:t>线长5m以上，220V和380V，插座有不少于2个以上的多功能插孔</w:t>
            </w:r>
          </w:p>
        </w:tc>
        <w:tc>
          <w:tcPr>
            <w:tcW w:w="745" w:type="dxa"/>
          </w:tcPr>
          <w:p w14:paraId="2BEB8C64">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1337" w:type="dxa"/>
          </w:tcPr>
          <w:p w14:paraId="0675B53E">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2</w:t>
            </w:r>
          </w:p>
        </w:tc>
      </w:tr>
      <w:tr w14:paraId="3ED77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3B232527">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12</w:t>
            </w:r>
          </w:p>
        </w:tc>
        <w:tc>
          <w:tcPr>
            <w:tcW w:w="2145" w:type="dxa"/>
          </w:tcPr>
          <w:p w14:paraId="4E5526E7">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橡胶水泥桶</w:t>
            </w:r>
          </w:p>
        </w:tc>
        <w:tc>
          <w:tcPr>
            <w:tcW w:w="3399" w:type="dxa"/>
          </w:tcPr>
          <w:p w14:paraId="33C24EAD">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底部直径≥25cm</w:t>
            </w:r>
          </w:p>
        </w:tc>
        <w:tc>
          <w:tcPr>
            <w:tcW w:w="745" w:type="dxa"/>
          </w:tcPr>
          <w:p w14:paraId="405105C2">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1337" w:type="dxa"/>
          </w:tcPr>
          <w:p w14:paraId="7F56C52E">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2</w:t>
            </w:r>
          </w:p>
        </w:tc>
      </w:tr>
      <w:tr w14:paraId="43CDE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6A046D10">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13</w:t>
            </w:r>
          </w:p>
        </w:tc>
        <w:tc>
          <w:tcPr>
            <w:tcW w:w="2145" w:type="dxa"/>
          </w:tcPr>
          <w:p w14:paraId="46D8FB58">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水泥砂浆搅拌桶</w:t>
            </w:r>
          </w:p>
        </w:tc>
        <w:tc>
          <w:tcPr>
            <w:tcW w:w="3399" w:type="dxa"/>
          </w:tcPr>
          <w:p w14:paraId="0D2F3477">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底部直径≥50cm</w:t>
            </w:r>
          </w:p>
        </w:tc>
        <w:tc>
          <w:tcPr>
            <w:tcW w:w="745" w:type="dxa"/>
          </w:tcPr>
          <w:p w14:paraId="66FC765F">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1337" w:type="dxa"/>
          </w:tcPr>
          <w:p w14:paraId="7E55FCBD">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1</w:t>
            </w:r>
          </w:p>
        </w:tc>
      </w:tr>
      <w:tr w14:paraId="3C0D2B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4CAC2D71">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14</w:t>
            </w:r>
          </w:p>
        </w:tc>
        <w:tc>
          <w:tcPr>
            <w:tcW w:w="2145" w:type="dxa"/>
          </w:tcPr>
          <w:p w14:paraId="045827D0">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水桶</w:t>
            </w:r>
          </w:p>
        </w:tc>
        <w:tc>
          <w:tcPr>
            <w:tcW w:w="3399" w:type="dxa"/>
          </w:tcPr>
          <w:p w14:paraId="44FC0F49">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底部直径≥35cm</w:t>
            </w:r>
          </w:p>
        </w:tc>
        <w:tc>
          <w:tcPr>
            <w:tcW w:w="745" w:type="dxa"/>
          </w:tcPr>
          <w:p w14:paraId="14E32A41">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1337" w:type="dxa"/>
          </w:tcPr>
          <w:p w14:paraId="69D8C512">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1</w:t>
            </w:r>
          </w:p>
        </w:tc>
      </w:tr>
      <w:tr w14:paraId="6F737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605D6AB1">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15</w:t>
            </w:r>
          </w:p>
        </w:tc>
        <w:tc>
          <w:tcPr>
            <w:tcW w:w="2145" w:type="dxa"/>
          </w:tcPr>
          <w:p w14:paraId="7AD2E3B6">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大垃圾桶</w:t>
            </w:r>
          </w:p>
        </w:tc>
        <w:tc>
          <w:tcPr>
            <w:tcW w:w="3399" w:type="dxa"/>
          </w:tcPr>
          <w:p w14:paraId="0776AE0A">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底部直径≥50cm</w:t>
            </w:r>
          </w:p>
        </w:tc>
        <w:tc>
          <w:tcPr>
            <w:tcW w:w="745" w:type="dxa"/>
          </w:tcPr>
          <w:p w14:paraId="6EFF5EEA">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1337" w:type="dxa"/>
          </w:tcPr>
          <w:p w14:paraId="55E93A6E">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1</w:t>
            </w:r>
          </w:p>
        </w:tc>
      </w:tr>
      <w:tr w14:paraId="3E289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3CD74D50">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16</w:t>
            </w:r>
          </w:p>
        </w:tc>
        <w:tc>
          <w:tcPr>
            <w:tcW w:w="2145" w:type="dxa"/>
          </w:tcPr>
          <w:p w14:paraId="2ABDCC4E">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木夯</w:t>
            </w:r>
          </w:p>
        </w:tc>
        <w:tc>
          <w:tcPr>
            <w:tcW w:w="3399" w:type="dxa"/>
          </w:tcPr>
          <w:p w14:paraId="4E53A8CC">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订制</w:t>
            </w:r>
          </w:p>
        </w:tc>
        <w:tc>
          <w:tcPr>
            <w:tcW w:w="745" w:type="dxa"/>
          </w:tcPr>
          <w:p w14:paraId="7A7F797D">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1337" w:type="dxa"/>
          </w:tcPr>
          <w:p w14:paraId="0764B962">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1</w:t>
            </w:r>
          </w:p>
        </w:tc>
      </w:tr>
      <w:tr w14:paraId="495D2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26" w:type="dxa"/>
          </w:tcPr>
          <w:p w14:paraId="3698865A">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17</w:t>
            </w:r>
          </w:p>
        </w:tc>
        <w:tc>
          <w:tcPr>
            <w:tcW w:w="2145" w:type="dxa"/>
          </w:tcPr>
          <w:p w14:paraId="1466FE65">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扫帚、簸箕、洒水壶等清洁工具</w:t>
            </w:r>
          </w:p>
        </w:tc>
        <w:tc>
          <w:tcPr>
            <w:tcW w:w="3399" w:type="dxa"/>
          </w:tcPr>
          <w:p w14:paraId="4E3A180C">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p>
        </w:tc>
        <w:tc>
          <w:tcPr>
            <w:tcW w:w="745" w:type="dxa"/>
          </w:tcPr>
          <w:p w14:paraId="25B95668">
            <w:pPr>
              <w:widowControl/>
              <w:kinsoku w:val="0"/>
              <w:autoSpaceDE w:val="0"/>
              <w:autoSpaceDN w:val="0"/>
              <w:adjustRightInd w:val="0"/>
              <w:snapToGrid w:val="0"/>
              <w:spacing w:before="62" w:after="62" w:line="620" w:lineRule="exact"/>
              <w:ind w:right="14"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套</w:t>
            </w:r>
          </w:p>
        </w:tc>
        <w:tc>
          <w:tcPr>
            <w:tcW w:w="1337" w:type="dxa"/>
          </w:tcPr>
          <w:p w14:paraId="5234A9A6">
            <w:pPr>
              <w:widowControl/>
              <w:kinsoku w:val="0"/>
              <w:autoSpaceDE w:val="0"/>
              <w:autoSpaceDN w:val="0"/>
              <w:adjustRightInd w:val="0"/>
              <w:snapToGrid w:val="0"/>
              <w:spacing w:before="62" w:after="62" w:line="620" w:lineRule="exact"/>
              <w:ind w:right="14" w:firstLine="480"/>
              <w:jc w:val="left"/>
              <w:textAlignment w:val="baseline"/>
              <w:rPr>
                <w:rFonts w:hint="eastAsia" w:ascii="黑体" w:hAnsi="黑体" w:eastAsia="黑体" w:cs="黑体"/>
                <w:sz w:val="24"/>
                <w:szCs w:val="24"/>
              </w:rPr>
            </w:pPr>
            <w:r>
              <w:rPr>
                <w:rFonts w:hint="eastAsia" w:ascii="黑体" w:hAnsi="黑体" w:eastAsia="黑体" w:cs="黑体"/>
                <w:sz w:val="24"/>
                <w:szCs w:val="24"/>
              </w:rPr>
              <w:t>1</w:t>
            </w:r>
          </w:p>
        </w:tc>
      </w:tr>
    </w:tbl>
    <w:p w14:paraId="156C5583">
      <w:pPr>
        <w:spacing w:before="62" w:after="62"/>
        <w:ind w:firstLine="480"/>
        <w:rPr>
          <w:rFonts w:hint="eastAsia" w:ascii="黑体" w:hAnsi="黑体" w:eastAsia="黑体" w:cs="黑体"/>
          <w:sz w:val="24"/>
          <w:szCs w:val="24"/>
        </w:rPr>
      </w:pPr>
      <w:r>
        <w:rPr>
          <w:rFonts w:hint="eastAsia" w:ascii="黑体" w:hAnsi="黑体" w:eastAsia="黑体" w:cs="黑体"/>
          <w:sz w:val="24"/>
          <w:szCs w:val="24"/>
        </w:rPr>
        <w:br w:type="page"/>
      </w:r>
    </w:p>
    <w:p w14:paraId="78193CF5">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附表2：:选手自备的辅助工具</w:t>
      </w:r>
    </w:p>
    <w:tbl>
      <w:tblPr>
        <w:tblStyle w:val="11"/>
        <w:tblW w:w="835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2"/>
        <w:gridCol w:w="1883"/>
        <w:gridCol w:w="734"/>
        <w:gridCol w:w="933"/>
        <w:gridCol w:w="4142"/>
      </w:tblGrid>
      <w:tr w14:paraId="5114E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662" w:type="dxa"/>
          </w:tcPr>
          <w:p w14:paraId="7B446FF2">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序号</w:t>
            </w:r>
          </w:p>
        </w:tc>
        <w:tc>
          <w:tcPr>
            <w:tcW w:w="1883" w:type="dxa"/>
          </w:tcPr>
          <w:p w14:paraId="0B879B51">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名称</w:t>
            </w:r>
          </w:p>
        </w:tc>
        <w:tc>
          <w:tcPr>
            <w:tcW w:w="734" w:type="dxa"/>
          </w:tcPr>
          <w:p w14:paraId="6C5E2467">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单位</w:t>
            </w:r>
          </w:p>
        </w:tc>
        <w:tc>
          <w:tcPr>
            <w:tcW w:w="933" w:type="dxa"/>
          </w:tcPr>
          <w:p w14:paraId="72A7632C">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数量</w:t>
            </w:r>
          </w:p>
        </w:tc>
        <w:tc>
          <w:tcPr>
            <w:tcW w:w="4142" w:type="dxa"/>
          </w:tcPr>
          <w:p w14:paraId="1A949496">
            <w:pPr>
              <w:widowControl/>
              <w:kinsoku w:val="0"/>
              <w:autoSpaceDE w:val="0"/>
              <w:autoSpaceDN w:val="0"/>
              <w:adjustRightInd w:val="0"/>
              <w:snapToGrid w:val="0"/>
              <w:spacing w:before="62" w:after="62" w:line="620" w:lineRule="exact"/>
              <w:ind w:right="14" w:firstLine="480"/>
              <w:textAlignment w:val="baseline"/>
              <w:rPr>
                <w:rFonts w:hint="eastAsia" w:ascii="黑体" w:hAnsi="黑体" w:eastAsia="黑体" w:cs="黑体"/>
                <w:sz w:val="24"/>
                <w:szCs w:val="24"/>
              </w:rPr>
            </w:pPr>
            <w:r>
              <w:rPr>
                <w:rFonts w:hint="eastAsia" w:ascii="黑体" w:hAnsi="黑体" w:eastAsia="黑体" w:cs="黑体"/>
                <w:sz w:val="24"/>
                <w:szCs w:val="24"/>
              </w:rPr>
              <w:t>备注</w:t>
            </w:r>
          </w:p>
        </w:tc>
      </w:tr>
      <w:tr w14:paraId="3FCFFE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9" w:hRule="atLeast"/>
        </w:trPr>
        <w:tc>
          <w:tcPr>
            <w:tcW w:w="662" w:type="dxa"/>
            <w:vAlign w:val="center"/>
          </w:tcPr>
          <w:p w14:paraId="2AD0119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1883" w:type="dxa"/>
            <w:vAlign w:val="center"/>
          </w:tcPr>
          <w:p w14:paraId="0B3E800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激光红外水平仪</w:t>
            </w:r>
          </w:p>
        </w:tc>
        <w:tc>
          <w:tcPr>
            <w:tcW w:w="734" w:type="dxa"/>
            <w:vAlign w:val="center"/>
          </w:tcPr>
          <w:p w14:paraId="77C267A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台</w:t>
            </w:r>
          </w:p>
        </w:tc>
        <w:tc>
          <w:tcPr>
            <w:tcW w:w="933" w:type="dxa"/>
            <w:vAlign w:val="center"/>
          </w:tcPr>
          <w:p w14:paraId="780F6D1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1-2</w:t>
            </w:r>
          </w:p>
        </w:tc>
        <w:tc>
          <w:tcPr>
            <w:tcW w:w="4142" w:type="dxa"/>
            <w:vAlign w:val="center"/>
          </w:tcPr>
          <w:p w14:paraId="02D8520A">
            <w:pPr>
              <w:widowControl/>
              <w:kinsoku w:val="0"/>
              <w:autoSpaceDE w:val="0"/>
              <w:autoSpaceDN w:val="0"/>
              <w:adjustRightInd w:val="0"/>
              <w:snapToGrid w:val="0"/>
              <w:spacing w:before="62" w:after="62" w:line="620" w:lineRule="exact"/>
              <w:ind w:firstLine="0" w:firstLineChars="0"/>
              <w:jc w:val="left"/>
              <w:textAlignment w:val="baseline"/>
              <w:rPr>
                <w:rFonts w:hint="eastAsia" w:ascii="黑体" w:hAnsi="黑体" w:eastAsia="黑体" w:cs="黑体"/>
                <w:sz w:val="24"/>
                <w:szCs w:val="24"/>
              </w:rPr>
            </w:pPr>
            <w:r>
              <w:rPr>
                <w:rFonts w:hint="eastAsia" w:ascii="黑体" w:hAnsi="黑体" w:eastAsia="黑体" w:cs="黑体"/>
                <w:sz w:val="24"/>
                <w:szCs w:val="24"/>
              </w:rPr>
              <w:t>等级：classⅡ、精度：±0.3mm/m、安平范围：±3°</w:t>
            </w:r>
          </w:p>
        </w:tc>
      </w:tr>
      <w:tr w14:paraId="3129C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662" w:type="dxa"/>
            <w:vAlign w:val="center"/>
          </w:tcPr>
          <w:p w14:paraId="2972E9B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1883" w:type="dxa"/>
            <w:vAlign w:val="center"/>
          </w:tcPr>
          <w:p w14:paraId="387DF83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瓦刀</w:t>
            </w:r>
          </w:p>
        </w:tc>
        <w:tc>
          <w:tcPr>
            <w:tcW w:w="734" w:type="dxa"/>
            <w:vAlign w:val="center"/>
          </w:tcPr>
          <w:p w14:paraId="53A90A4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16FD63D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11EC4BE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04CD7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662" w:type="dxa"/>
            <w:vAlign w:val="center"/>
          </w:tcPr>
          <w:p w14:paraId="2B36072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w:t>
            </w:r>
          </w:p>
        </w:tc>
        <w:tc>
          <w:tcPr>
            <w:tcW w:w="1883" w:type="dxa"/>
            <w:vAlign w:val="center"/>
          </w:tcPr>
          <w:p w14:paraId="52BC8D9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抹子</w:t>
            </w:r>
          </w:p>
        </w:tc>
        <w:tc>
          <w:tcPr>
            <w:tcW w:w="734" w:type="dxa"/>
            <w:vAlign w:val="center"/>
          </w:tcPr>
          <w:p w14:paraId="2691162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270B9B6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035591F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1BD30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662" w:type="dxa"/>
            <w:vAlign w:val="center"/>
          </w:tcPr>
          <w:p w14:paraId="599513E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w:t>
            </w:r>
          </w:p>
        </w:tc>
        <w:tc>
          <w:tcPr>
            <w:tcW w:w="1883" w:type="dxa"/>
            <w:vAlign w:val="center"/>
          </w:tcPr>
          <w:p w14:paraId="472873D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塑料托板</w:t>
            </w:r>
          </w:p>
        </w:tc>
        <w:tc>
          <w:tcPr>
            <w:tcW w:w="734" w:type="dxa"/>
            <w:vAlign w:val="center"/>
          </w:tcPr>
          <w:p w14:paraId="75F17F9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4CB86DF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5A5F79D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B0DA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662" w:type="dxa"/>
            <w:vAlign w:val="center"/>
          </w:tcPr>
          <w:p w14:paraId="0A5AA2B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5</w:t>
            </w:r>
          </w:p>
        </w:tc>
        <w:tc>
          <w:tcPr>
            <w:tcW w:w="1883" w:type="dxa"/>
            <w:vAlign w:val="center"/>
          </w:tcPr>
          <w:p w14:paraId="5220655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铁凿</w:t>
            </w:r>
          </w:p>
        </w:tc>
        <w:tc>
          <w:tcPr>
            <w:tcW w:w="734" w:type="dxa"/>
            <w:vAlign w:val="center"/>
          </w:tcPr>
          <w:p w14:paraId="3FDDDE2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3D9F720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28E7434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3F26E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66D9055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6</w:t>
            </w:r>
          </w:p>
        </w:tc>
        <w:tc>
          <w:tcPr>
            <w:tcW w:w="1883" w:type="dxa"/>
            <w:vAlign w:val="center"/>
          </w:tcPr>
          <w:p w14:paraId="2EAF0EE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木工凿</w:t>
            </w:r>
          </w:p>
        </w:tc>
        <w:tc>
          <w:tcPr>
            <w:tcW w:w="734" w:type="dxa"/>
            <w:vAlign w:val="center"/>
          </w:tcPr>
          <w:p w14:paraId="0CDACEF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4143A66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5B53F69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C61E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533E2E9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7</w:t>
            </w:r>
          </w:p>
        </w:tc>
        <w:tc>
          <w:tcPr>
            <w:tcW w:w="1883" w:type="dxa"/>
            <w:vAlign w:val="center"/>
          </w:tcPr>
          <w:p w14:paraId="138F41D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美工刀</w:t>
            </w:r>
          </w:p>
        </w:tc>
        <w:tc>
          <w:tcPr>
            <w:tcW w:w="734" w:type="dxa"/>
            <w:vAlign w:val="center"/>
          </w:tcPr>
          <w:p w14:paraId="79DC76F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19CBE61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4142" w:type="dxa"/>
            <w:vAlign w:val="center"/>
          </w:tcPr>
          <w:p w14:paraId="3E47325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配一盒刀片</w:t>
            </w:r>
          </w:p>
        </w:tc>
      </w:tr>
      <w:tr w14:paraId="3E1D9E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6351378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8</w:t>
            </w:r>
          </w:p>
        </w:tc>
        <w:tc>
          <w:tcPr>
            <w:tcW w:w="1883" w:type="dxa"/>
            <w:vAlign w:val="center"/>
          </w:tcPr>
          <w:p w14:paraId="3DCCFD0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钢丝剪</w:t>
            </w:r>
          </w:p>
        </w:tc>
        <w:tc>
          <w:tcPr>
            <w:tcW w:w="734" w:type="dxa"/>
            <w:vAlign w:val="center"/>
          </w:tcPr>
          <w:p w14:paraId="7C13E97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22F0074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4142" w:type="dxa"/>
            <w:vAlign w:val="center"/>
          </w:tcPr>
          <w:p w14:paraId="6D53ACE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31589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1162A40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9</w:t>
            </w:r>
          </w:p>
        </w:tc>
        <w:tc>
          <w:tcPr>
            <w:tcW w:w="1883" w:type="dxa"/>
            <w:vAlign w:val="center"/>
          </w:tcPr>
          <w:p w14:paraId="103C3E5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手锯</w:t>
            </w:r>
          </w:p>
        </w:tc>
        <w:tc>
          <w:tcPr>
            <w:tcW w:w="734" w:type="dxa"/>
            <w:vAlign w:val="center"/>
          </w:tcPr>
          <w:p w14:paraId="722FA11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2843A5E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4142" w:type="dxa"/>
            <w:vAlign w:val="center"/>
          </w:tcPr>
          <w:p w14:paraId="464071C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23582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2F7DAA1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w:t>
            </w:r>
          </w:p>
        </w:tc>
        <w:tc>
          <w:tcPr>
            <w:tcW w:w="1883" w:type="dxa"/>
            <w:vAlign w:val="center"/>
          </w:tcPr>
          <w:p w14:paraId="02F26FB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铁锤</w:t>
            </w:r>
          </w:p>
        </w:tc>
        <w:tc>
          <w:tcPr>
            <w:tcW w:w="734" w:type="dxa"/>
            <w:vAlign w:val="center"/>
          </w:tcPr>
          <w:p w14:paraId="29B4D75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19B6C56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13BF0CB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1B119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085F0A9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11</w:t>
            </w:r>
          </w:p>
        </w:tc>
        <w:tc>
          <w:tcPr>
            <w:tcW w:w="1883" w:type="dxa"/>
            <w:vAlign w:val="center"/>
          </w:tcPr>
          <w:p w14:paraId="4126B2B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橡皮锤</w:t>
            </w:r>
          </w:p>
        </w:tc>
        <w:tc>
          <w:tcPr>
            <w:tcW w:w="734" w:type="dxa"/>
            <w:vAlign w:val="center"/>
          </w:tcPr>
          <w:p w14:paraId="04A2676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656697B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2BD8110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19C01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0D6A787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12</w:t>
            </w:r>
          </w:p>
        </w:tc>
        <w:tc>
          <w:tcPr>
            <w:tcW w:w="1883" w:type="dxa"/>
            <w:vAlign w:val="center"/>
          </w:tcPr>
          <w:p w14:paraId="489D2AD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铅锤</w:t>
            </w:r>
          </w:p>
        </w:tc>
        <w:tc>
          <w:tcPr>
            <w:tcW w:w="734" w:type="dxa"/>
            <w:vAlign w:val="center"/>
          </w:tcPr>
          <w:p w14:paraId="5081C60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1D9817A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4142" w:type="dxa"/>
            <w:vAlign w:val="center"/>
          </w:tcPr>
          <w:p w14:paraId="6ECF175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5DA25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78D17C5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13</w:t>
            </w:r>
          </w:p>
        </w:tc>
        <w:tc>
          <w:tcPr>
            <w:tcW w:w="1883" w:type="dxa"/>
            <w:vAlign w:val="center"/>
          </w:tcPr>
          <w:p w14:paraId="179B4E6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记号笔</w:t>
            </w:r>
          </w:p>
        </w:tc>
        <w:tc>
          <w:tcPr>
            <w:tcW w:w="734" w:type="dxa"/>
            <w:vAlign w:val="center"/>
          </w:tcPr>
          <w:p w14:paraId="3C1C702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只</w:t>
            </w:r>
          </w:p>
        </w:tc>
        <w:tc>
          <w:tcPr>
            <w:tcW w:w="933" w:type="dxa"/>
            <w:vAlign w:val="center"/>
          </w:tcPr>
          <w:p w14:paraId="2A07901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7F2F88D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6F3F25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38DE625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14</w:t>
            </w:r>
          </w:p>
        </w:tc>
        <w:tc>
          <w:tcPr>
            <w:tcW w:w="1883" w:type="dxa"/>
            <w:vAlign w:val="center"/>
          </w:tcPr>
          <w:p w14:paraId="466F844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橡皮</w:t>
            </w:r>
          </w:p>
        </w:tc>
        <w:tc>
          <w:tcPr>
            <w:tcW w:w="734" w:type="dxa"/>
            <w:vAlign w:val="center"/>
          </w:tcPr>
          <w:p w14:paraId="3F31E45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只</w:t>
            </w:r>
          </w:p>
        </w:tc>
        <w:tc>
          <w:tcPr>
            <w:tcW w:w="933" w:type="dxa"/>
            <w:vAlign w:val="center"/>
          </w:tcPr>
          <w:p w14:paraId="7810D96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3972414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05B80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648B77E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15</w:t>
            </w:r>
          </w:p>
        </w:tc>
        <w:tc>
          <w:tcPr>
            <w:tcW w:w="1883" w:type="dxa"/>
            <w:vAlign w:val="center"/>
          </w:tcPr>
          <w:p w14:paraId="5583A07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铅笔</w:t>
            </w:r>
          </w:p>
        </w:tc>
        <w:tc>
          <w:tcPr>
            <w:tcW w:w="734" w:type="dxa"/>
            <w:vAlign w:val="center"/>
          </w:tcPr>
          <w:p w14:paraId="35B02DB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只</w:t>
            </w:r>
          </w:p>
        </w:tc>
        <w:tc>
          <w:tcPr>
            <w:tcW w:w="933" w:type="dxa"/>
            <w:vAlign w:val="center"/>
          </w:tcPr>
          <w:p w14:paraId="42D633D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2E90D7E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69E1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7FF3256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16</w:t>
            </w:r>
          </w:p>
        </w:tc>
        <w:tc>
          <w:tcPr>
            <w:tcW w:w="1883" w:type="dxa"/>
            <w:vAlign w:val="center"/>
          </w:tcPr>
          <w:p w14:paraId="2DEFF78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墨斗</w:t>
            </w:r>
          </w:p>
        </w:tc>
        <w:tc>
          <w:tcPr>
            <w:tcW w:w="734" w:type="dxa"/>
            <w:vAlign w:val="center"/>
          </w:tcPr>
          <w:p w14:paraId="69F6E42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3F9BB9A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4142" w:type="dxa"/>
            <w:vAlign w:val="center"/>
          </w:tcPr>
          <w:p w14:paraId="542D534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浸墨水</w:t>
            </w:r>
          </w:p>
        </w:tc>
      </w:tr>
      <w:tr w14:paraId="76B97F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00F2455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17</w:t>
            </w:r>
          </w:p>
        </w:tc>
        <w:tc>
          <w:tcPr>
            <w:tcW w:w="1883" w:type="dxa"/>
            <w:vAlign w:val="center"/>
          </w:tcPr>
          <w:p w14:paraId="695B299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线团</w:t>
            </w:r>
          </w:p>
        </w:tc>
        <w:tc>
          <w:tcPr>
            <w:tcW w:w="734" w:type="dxa"/>
            <w:vAlign w:val="center"/>
          </w:tcPr>
          <w:p w14:paraId="69568F6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38C7F45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69F4FDC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2B649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4563363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18</w:t>
            </w:r>
          </w:p>
        </w:tc>
        <w:tc>
          <w:tcPr>
            <w:tcW w:w="1883" w:type="dxa"/>
            <w:vAlign w:val="center"/>
          </w:tcPr>
          <w:p w14:paraId="0A246C5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水平尺1</w:t>
            </w:r>
          </w:p>
        </w:tc>
        <w:tc>
          <w:tcPr>
            <w:tcW w:w="734" w:type="dxa"/>
            <w:vAlign w:val="center"/>
          </w:tcPr>
          <w:p w14:paraId="325D4FE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40CFF66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052D06A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022A35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4DC2288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19</w:t>
            </w:r>
          </w:p>
        </w:tc>
        <w:tc>
          <w:tcPr>
            <w:tcW w:w="1883" w:type="dxa"/>
            <w:vAlign w:val="center"/>
          </w:tcPr>
          <w:p w14:paraId="2C98E20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水平尺2</w:t>
            </w:r>
          </w:p>
        </w:tc>
        <w:tc>
          <w:tcPr>
            <w:tcW w:w="734" w:type="dxa"/>
            <w:vAlign w:val="center"/>
          </w:tcPr>
          <w:p w14:paraId="00235E5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67E5F90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7C8E825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有刻度</w:t>
            </w:r>
          </w:p>
        </w:tc>
      </w:tr>
      <w:tr w14:paraId="51FC9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284C40D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20</w:t>
            </w:r>
          </w:p>
        </w:tc>
        <w:tc>
          <w:tcPr>
            <w:tcW w:w="1883" w:type="dxa"/>
            <w:vAlign w:val="center"/>
          </w:tcPr>
          <w:p w14:paraId="105F43F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直角尺</w:t>
            </w:r>
          </w:p>
        </w:tc>
        <w:tc>
          <w:tcPr>
            <w:tcW w:w="734" w:type="dxa"/>
            <w:vAlign w:val="center"/>
          </w:tcPr>
          <w:p w14:paraId="31BFCB8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25F0B21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4142" w:type="dxa"/>
            <w:vAlign w:val="center"/>
          </w:tcPr>
          <w:p w14:paraId="1DEE173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72AE09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62D4286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21</w:t>
            </w:r>
          </w:p>
        </w:tc>
        <w:tc>
          <w:tcPr>
            <w:tcW w:w="1883" w:type="dxa"/>
            <w:vAlign w:val="center"/>
          </w:tcPr>
          <w:p w14:paraId="001F78A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钢卷尺</w:t>
            </w:r>
          </w:p>
        </w:tc>
        <w:tc>
          <w:tcPr>
            <w:tcW w:w="734" w:type="dxa"/>
            <w:vAlign w:val="center"/>
          </w:tcPr>
          <w:p w14:paraId="526441B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6B3AA36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w:t>
            </w:r>
          </w:p>
        </w:tc>
        <w:tc>
          <w:tcPr>
            <w:tcW w:w="4142" w:type="dxa"/>
            <w:vAlign w:val="center"/>
          </w:tcPr>
          <w:p w14:paraId="439CD54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5m、10m各2把</w:t>
            </w:r>
          </w:p>
        </w:tc>
      </w:tr>
      <w:tr w14:paraId="58E93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19A52ED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22</w:t>
            </w:r>
          </w:p>
        </w:tc>
        <w:tc>
          <w:tcPr>
            <w:tcW w:w="1883" w:type="dxa"/>
            <w:vAlign w:val="center"/>
          </w:tcPr>
          <w:p w14:paraId="7102EB9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小铲子</w:t>
            </w:r>
          </w:p>
        </w:tc>
        <w:tc>
          <w:tcPr>
            <w:tcW w:w="734" w:type="dxa"/>
            <w:vAlign w:val="center"/>
          </w:tcPr>
          <w:p w14:paraId="1815A30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111C17F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4142" w:type="dxa"/>
            <w:vAlign w:val="center"/>
          </w:tcPr>
          <w:p w14:paraId="7DD1139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园艺</w:t>
            </w:r>
          </w:p>
        </w:tc>
      </w:tr>
      <w:tr w14:paraId="6CDB9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04FDCFF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23</w:t>
            </w:r>
          </w:p>
        </w:tc>
        <w:tc>
          <w:tcPr>
            <w:tcW w:w="1883" w:type="dxa"/>
            <w:vAlign w:val="center"/>
          </w:tcPr>
          <w:p w14:paraId="1821070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小修枝剪</w:t>
            </w:r>
          </w:p>
        </w:tc>
        <w:tc>
          <w:tcPr>
            <w:tcW w:w="734" w:type="dxa"/>
            <w:vAlign w:val="center"/>
          </w:tcPr>
          <w:p w14:paraId="4616B95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70D1CBE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4142" w:type="dxa"/>
            <w:vAlign w:val="center"/>
          </w:tcPr>
          <w:p w14:paraId="3B88095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园艺</w:t>
            </w:r>
          </w:p>
        </w:tc>
      </w:tr>
      <w:tr w14:paraId="03FBF2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3E46FB5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24</w:t>
            </w:r>
          </w:p>
        </w:tc>
        <w:tc>
          <w:tcPr>
            <w:tcW w:w="1883" w:type="dxa"/>
            <w:vAlign w:val="center"/>
          </w:tcPr>
          <w:p w14:paraId="44246C6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老虎钳</w:t>
            </w:r>
          </w:p>
        </w:tc>
        <w:tc>
          <w:tcPr>
            <w:tcW w:w="734" w:type="dxa"/>
            <w:vAlign w:val="center"/>
          </w:tcPr>
          <w:p w14:paraId="445F8FA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把</w:t>
            </w:r>
          </w:p>
        </w:tc>
        <w:tc>
          <w:tcPr>
            <w:tcW w:w="933" w:type="dxa"/>
            <w:vAlign w:val="center"/>
          </w:tcPr>
          <w:p w14:paraId="211794A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4142" w:type="dxa"/>
            <w:vAlign w:val="center"/>
          </w:tcPr>
          <w:p w14:paraId="20AF668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0F2256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738297D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25</w:t>
            </w:r>
          </w:p>
        </w:tc>
        <w:tc>
          <w:tcPr>
            <w:tcW w:w="1883" w:type="dxa"/>
            <w:vAlign w:val="center"/>
          </w:tcPr>
          <w:p w14:paraId="74091F1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手套</w:t>
            </w:r>
          </w:p>
        </w:tc>
        <w:tc>
          <w:tcPr>
            <w:tcW w:w="734" w:type="dxa"/>
            <w:vAlign w:val="center"/>
          </w:tcPr>
          <w:p w14:paraId="1CFB013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副</w:t>
            </w:r>
          </w:p>
        </w:tc>
        <w:tc>
          <w:tcPr>
            <w:tcW w:w="933" w:type="dxa"/>
            <w:vAlign w:val="center"/>
          </w:tcPr>
          <w:p w14:paraId="646B3E1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12</w:t>
            </w:r>
          </w:p>
        </w:tc>
        <w:tc>
          <w:tcPr>
            <w:tcW w:w="4142" w:type="dxa"/>
            <w:vAlign w:val="center"/>
          </w:tcPr>
          <w:p w14:paraId="0139529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0AB71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334D145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26</w:t>
            </w:r>
          </w:p>
        </w:tc>
        <w:tc>
          <w:tcPr>
            <w:tcW w:w="1883" w:type="dxa"/>
            <w:vAlign w:val="center"/>
          </w:tcPr>
          <w:p w14:paraId="2F11E8C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防护眼镜</w:t>
            </w:r>
          </w:p>
        </w:tc>
        <w:tc>
          <w:tcPr>
            <w:tcW w:w="734" w:type="dxa"/>
            <w:vAlign w:val="center"/>
          </w:tcPr>
          <w:p w14:paraId="5D1B8E4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副</w:t>
            </w:r>
          </w:p>
        </w:tc>
        <w:tc>
          <w:tcPr>
            <w:tcW w:w="933" w:type="dxa"/>
            <w:vAlign w:val="center"/>
          </w:tcPr>
          <w:p w14:paraId="052DADD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4472FF4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7B030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2C9BC74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27</w:t>
            </w:r>
          </w:p>
        </w:tc>
        <w:tc>
          <w:tcPr>
            <w:tcW w:w="1883" w:type="dxa"/>
            <w:vAlign w:val="center"/>
          </w:tcPr>
          <w:p w14:paraId="6F37C94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隔音耳塞</w:t>
            </w:r>
          </w:p>
        </w:tc>
        <w:tc>
          <w:tcPr>
            <w:tcW w:w="734" w:type="dxa"/>
            <w:vAlign w:val="center"/>
          </w:tcPr>
          <w:p w14:paraId="4A31794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副</w:t>
            </w:r>
          </w:p>
        </w:tc>
        <w:tc>
          <w:tcPr>
            <w:tcW w:w="933" w:type="dxa"/>
            <w:vAlign w:val="center"/>
          </w:tcPr>
          <w:p w14:paraId="670602D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6CA7C37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73BF67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3D9E9A5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28</w:t>
            </w:r>
          </w:p>
        </w:tc>
        <w:tc>
          <w:tcPr>
            <w:tcW w:w="1883" w:type="dxa"/>
            <w:vAlign w:val="center"/>
          </w:tcPr>
          <w:p w14:paraId="0892C05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防尘口罩</w:t>
            </w:r>
          </w:p>
        </w:tc>
        <w:tc>
          <w:tcPr>
            <w:tcW w:w="734" w:type="dxa"/>
            <w:vAlign w:val="center"/>
          </w:tcPr>
          <w:p w14:paraId="00EA665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3B64ADB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2068E90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0DD0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62" w:type="dxa"/>
            <w:vAlign w:val="center"/>
          </w:tcPr>
          <w:p w14:paraId="10F997B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29</w:t>
            </w:r>
          </w:p>
        </w:tc>
        <w:tc>
          <w:tcPr>
            <w:tcW w:w="1883" w:type="dxa"/>
            <w:vAlign w:val="center"/>
          </w:tcPr>
          <w:p w14:paraId="523F0E8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护膝</w:t>
            </w:r>
          </w:p>
        </w:tc>
        <w:tc>
          <w:tcPr>
            <w:tcW w:w="734" w:type="dxa"/>
            <w:vAlign w:val="center"/>
          </w:tcPr>
          <w:p w14:paraId="581DBF0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对</w:t>
            </w:r>
          </w:p>
        </w:tc>
        <w:tc>
          <w:tcPr>
            <w:tcW w:w="933" w:type="dxa"/>
            <w:vAlign w:val="center"/>
          </w:tcPr>
          <w:p w14:paraId="0835D21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4142" w:type="dxa"/>
            <w:vAlign w:val="center"/>
          </w:tcPr>
          <w:p w14:paraId="13C9D42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A7AA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62" w:type="dxa"/>
            <w:vAlign w:val="center"/>
          </w:tcPr>
          <w:p w14:paraId="79C477B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30</w:t>
            </w:r>
          </w:p>
        </w:tc>
        <w:tc>
          <w:tcPr>
            <w:tcW w:w="1883" w:type="dxa"/>
            <w:vAlign w:val="center"/>
          </w:tcPr>
          <w:p w14:paraId="0131524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放线定位桩</w:t>
            </w:r>
          </w:p>
        </w:tc>
        <w:tc>
          <w:tcPr>
            <w:tcW w:w="734" w:type="dxa"/>
            <w:vAlign w:val="center"/>
          </w:tcPr>
          <w:p w14:paraId="5C2DC9C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个</w:t>
            </w:r>
          </w:p>
        </w:tc>
        <w:tc>
          <w:tcPr>
            <w:tcW w:w="933" w:type="dxa"/>
            <w:vAlign w:val="center"/>
          </w:tcPr>
          <w:p w14:paraId="63A1BCC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w:t>
            </w:r>
          </w:p>
        </w:tc>
        <w:tc>
          <w:tcPr>
            <w:tcW w:w="4142" w:type="dxa"/>
            <w:vAlign w:val="center"/>
          </w:tcPr>
          <w:p w14:paraId="4ED4883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高度≥30cm</w:t>
            </w:r>
          </w:p>
        </w:tc>
      </w:tr>
    </w:tbl>
    <w:p w14:paraId="5EBEE550">
      <w:pPr>
        <w:spacing w:before="62" w:after="62"/>
        <w:ind w:firstLine="480"/>
        <w:rPr>
          <w:rFonts w:hint="eastAsia" w:ascii="黑体" w:hAnsi="黑体" w:eastAsia="黑体" w:cs="黑体"/>
          <w:sz w:val="24"/>
          <w:szCs w:val="24"/>
        </w:rPr>
      </w:pPr>
      <w:r>
        <w:rPr>
          <w:rFonts w:hint="eastAsia" w:ascii="黑体" w:hAnsi="黑体" w:eastAsia="黑体" w:cs="黑体"/>
          <w:sz w:val="24"/>
          <w:szCs w:val="24"/>
        </w:rPr>
        <w:br w:type="page"/>
      </w:r>
    </w:p>
    <w:p w14:paraId="5C701A2F">
      <w:pPr>
        <w:widowControl/>
        <w:kinsoku w:val="0"/>
        <w:autoSpaceDE w:val="0"/>
        <w:autoSpaceDN w:val="0"/>
        <w:adjustRightInd w:val="0"/>
        <w:snapToGrid w:val="0"/>
        <w:spacing w:before="62" w:after="62" w:line="620" w:lineRule="exact"/>
        <w:ind w:right="14" w:firstLine="0" w:firstLineChars="0"/>
        <w:textAlignment w:val="baseline"/>
        <w:rPr>
          <w:rFonts w:hint="eastAsia" w:ascii="黑体" w:hAnsi="黑体" w:eastAsia="黑体" w:cs="黑体"/>
          <w:sz w:val="24"/>
          <w:szCs w:val="24"/>
        </w:rPr>
      </w:pPr>
      <w:r>
        <w:rPr>
          <w:rFonts w:hint="eastAsia" w:ascii="黑体" w:hAnsi="黑体" w:eastAsia="黑体" w:cs="黑体"/>
          <w:sz w:val="24"/>
          <w:szCs w:val="24"/>
        </w:rPr>
        <w:t>附表3：承办方提供的施工材料（每个工位）</w:t>
      </w:r>
    </w:p>
    <w:tbl>
      <w:tblPr>
        <w:tblStyle w:val="11"/>
        <w:tblW w:w="833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3"/>
        <w:gridCol w:w="643"/>
        <w:gridCol w:w="1372"/>
        <w:gridCol w:w="2614"/>
        <w:gridCol w:w="793"/>
        <w:gridCol w:w="2186"/>
      </w:tblGrid>
      <w:tr w14:paraId="7F01E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23" w:type="dxa"/>
          </w:tcPr>
          <w:p w14:paraId="53A95B0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类别</w:t>
            </w:r>
          </w:p>
        </w:tc>
        <w:tc>
          <w:tcPr>
            <w:tcW w:w="643" w:type="dxa"/>
          </w:tcPr>
          <w:p w14:paraId="2316399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序号</w:t>
            </w:r>
          </w:p>
        </w:tc>
        <w:tc>
          <w:tcPr>
            <w:tcW w:w="1372" w:type="dxa"/>
          </w:tcPr>
          <w:p w14:paraId="26AB4C9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名称</w:t>
            </w:r>
          </w:p>
        </w:tc>
        <w:tc>
          <w:tcPr>
            <w:tcW w:w="2614" w:type="dxa"/>
          </w:tcPr>
          <w:p w14:paraId="14A5F95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主要规格</w:t>
            </w:r>
          </w:p>
        </w:tc>
        <w:tc>
          <w:tcPr>
            <w:tcW w:w="793" w:type="dxa"/>
          </w:tcPr>
          <w:p w14:paraId="3E5AAF0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数量</w:t>
            </w:r>
          </w:p>
        </w:tc>
        <w:tc>
          <w:tcPr>
            <w:tcW w:w="2186" w:type="dxa"/>
          </w:tcPr>
          <w:p w14:paraId="37F9A37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备注</w:t>
            </w:r>
          </w:p>
        </w:tc>
      </w:tr>
      <w:tr w14:paraId="07304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723" w:type="dxa"/>
            <w:vMerge w:val="restart"/>
            <w:tcBorders>
              <w:bottom w:val="nil"/>
            </w:tcBorders>
          </w:tcPr>
          <w:p w14:paraId="0804AB6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362F3C8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4D3282F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25D6980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3493A9D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1FE6D69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75C3885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69526CD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1A272C7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6BE24E7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植物</w:t>
            </w:r>
          </w:p>
        </w:tc>
        <w:tc>
          <w:tcPr>
            <w:tcW w:w="643" w:type="dxa"/>
          </w:tcPr>
          <w:p w14:paraId="63E9E92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w:t>
            </w:r>
          </w:p>
        </w:tc>
        <w:tc>
          <w:tcPr>
            <w:tcW w:w="1372" w:type="dxa"/>
          </w:tcPr>
          <w:p w14:paraId="1FA24B9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定位植物</w:t>
            </w:r>
          </w:p>
        </w:tc>
        <w:tc>
          <w:tcPr>
            <w:tcW w:w="2614" w:type="dxa"/>
          </w:tcPr>
          <w:p w14:paraId="303BCD0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高1.5-1.6m</w:t>
            </w:r>
          </w:p>
          <w:p w14:paraId="0136781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冠幅50-60cm</w:t>
            </w:r>
          </w:p>
        </w:tc>
        <w:tc>
          <w:tcPr>
            <w:tcW w:w="793" w:type="dxa"/>
          </w:tcPr>
          <w:p w14:paraId="21A8DFD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3株</w:t>
            </w:r>
          </w:p>
        </w:tc>
        <w:tc>
          <w:tcPr>
            <w:tcW w:w="2186" w:type="dxa"/>
          </w:tcPr>
          <w:p w14:paraId="669F453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5009C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723" w:type="dxa"/>
            <w:vMerge w:val="continue"/>
            <w:tcBorders>
              <w:top w:val="nil"/>
              <w:bottom w:val="nil"/>
            </w:tcBorders>
          </w:tcPr>
          <w:p w14:paraId="62D04C1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6C03508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w:t>
            </w:r>
          </w:p>
        </w:tc>
        <w:tc>
          <w:tcPr>
            <w:tcW w:w="1372" w:type="dxa"/>
          </w:tcPr>
          <w:p w14:paraId="56359D9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棕竹</w:t>
            </w:r>
          </w:p>
        </w:tc>
        <w:tc>
          <w:tcPr>
            <w:tcW w:w="2614" w:type="dxa"/>
          </w:tcPr>
          <w:p w14:paraId="61EB939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高0.8-1.2m</w:t>
            </w:r>
          </w:p>
          <w:p w14:paraId="258979E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冠幅30-50cm</w:t>
            </w:r>
          </w:p>
        </w:tc>
        <w:tc>
          <w:tcPr>
            <w:tcW w:w="793" w:type="dxa"/>
          </w:tcPr>
          <w:p w14:paraId="26170E7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3株</w:t>
            </w:r>
          </w:p>
        </w:tc>
        <w:tc>
          <w:tcPr>
            <w:tcW w:w="2186" w:type="dxa"/>
          </w:tcPr>
          <w:p w14:paraId="5D92491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791A57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9" w:hRule="atLeast"/>
        </w:trPr>
        <w:tc>
          <w:tcPr>
            <w:tcW w:w="723" w:type="dxa"/>
            <w:vMerge w:val="continue"/>
            <w:tcBorders>
              <w:top w:val="nil"/>
              <w:bottom w:val="nil"/>
            </w:tcBorders>
          </w:tcPr>
          <w:p w14:paraId="22C700F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477CA56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w:t>
            </w:r>
          </w:p>
        </w:tc>
        <w:tc>
          <w:tcPr>
            <w:tcW w:w="1372" w:type="dxa"/>
          </w:tcPr>
          <w:p w14:paraId="13E11CB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绣球</w:t>
            </w:r>
          </w:p>
        </w:tc>
        <w:tc>
          <w:tcPr>
            <w:tcW w:w="2614" w:type="dxa"/>
          </w:tcPr>
          <w:p w14:paraId="3E17148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高0.3-0.4m</w:t>
            </w:r>
          </w:p>
          <w:p w14:paraId="167AA76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冠幅30-40cm</w:t>
            </w:r>
          </w:p>
        </w:tc>
        <w:tc>
          <w:tcPr>
            <w:tcW w:w="793" w:type="dxa"/>
          </w:tcPr>
          <w:p w14:paraId="7A73FA2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3株</w:t>
            </w:r>
          </w:p>
        </w:tc>
        <w:tc>
          <w:tcPr>
            <w:tcW w:w="2186" w:type="dxa"/>
          </w:tcPr>
          <w:p w14:paraId="4E50495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17688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723" w:type="dxa"/>
            <w:vMerge w:val="continue"/>
            <w:tcBorders>
              <w:top w:val="nil"/>
              <w:bottom w:val="nil"/>
            </w:tcBorders>
          </w:tcPr>
          <w:p w14:paraId="02A1CC0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141E110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607FE82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w:t>
            </w:r>
          </w:p>
        </w:tc>
        <w:tc>
          <w:tcPr>
            <w:tcW w:w="1372" w:type="dxa"/>
            <w:vAlign w:val="center"/>
          </w:tcPr>
          <w:p w14:paraId="25F9E9E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天门冬</w:t>
            </w:r>
          </w:p>
        </w:tc>
        <w:tc>
          <w:tcPr>
            <w:tcW w:w="2614" w:type="dxa"/>
          </w:tcPr>
          <w:p w14:paraId="7F8EEC3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高0.5-0.6m</w:t>
            </w:r>
          </w:p>
          <w:p w14:paraId="290863F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冠幅50-60cm</w:t>
            </w:r>
          </w:p>
        </w:tc>
        <w:tc>
          <w:tcPr>
            <w:tcW w:w="793" w:type="dxa"/>
          </w:tcPr>
          <w:p w14:paraId="41EF523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3株</w:t>
            </w:r>
          </w:p>
        </w:tc>
        <w:tc>
          <w:tcPr>
            <w:tcW w:w="2186" w:type="dxa"/>
          </w:tcPr>
          <w:p w14:paraId="153117B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3051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723" w:type="dxa"/>
            <w:vMerge w:val="continue"/>
            <w:tcBorders>
              <w:top w:val="nil"/>
              <w:bottom w:val="nil"/>
            </w:tcBorders>
          </w:tcPr>
          <w:p w14:paraId="1F9351A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71AFC1D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5</w:t>
            </w:r>
          </w:p>
        </w:tc>
        <w:tc>
          <w:tcPr>
            <w:tcW w:w="1372" w:type="dxa"/>
          </w:tcPr>
          <w:p w14:paraId="7EAC36F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玉簪</w:t>
            </w:r>
          </w:p>
        </w:tc>
        <w:tc>
          <w:tcPr>
            <w:tcW w:w="2614" w:type="dxa"/>
          </w:tcPr>
          <w:p w14:paraId="2FC55DE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高0.2-0.3m</w:t>
            </w:r>
          </w:p>
          <w:p w14:paraId="41B0150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冠幅20-30cm</w:t>
            </w:r>
          </w:p>
        </w:tc>
        <w:tc>
          <w:tcPr>
            <w:tcW w:w="793" w:type="dxa"/>
          </w:tcPr>
          <w:p w14:paraId="1B226FA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10丛</w:t>
            </w:r>
          </w:p>
        </w:tc>
        <w:tc>
          <w:tcPr>
            <w:tcW w:w="2186" w:type="dxa"/>
          </w:tcPr>
          <w:p w14:paraId="13230F0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F72F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723" w:type="dxa"/>
            <w:vMerge w:val="continue"/>
            <w:tcBorders>
              <w:top w:val="nil"/>
              <w:bottom w:val="nil"/>
            </w:tcBorders>
          </w:tcPr>
          <w:p w14:paraId="359BEB9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39A9BF3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6</w:t>
            </w:r>
          </w:p>
        </w:tc>
        <w:tc>
          <w:tcPr>
            <w:tcW w:w="1372" w:type="dxa"/>
          </w:tcPr>
          <w:p w14:paraId="401AA0F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肾蕨</w:t>
            </w:r>
          </w:p>
        </w:tc>
        <w:tc>
          <w:tcPr>
            <w:tcW w:w="2614" w:type="dxa"/>
          </w:tcPr>
          <w:p w14:paraId="589EE03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高0.5-0.6m，3-4分枝</w:t>
            </w:r>
          </w:p>
        </w:tc>
        <w:tc>
          <w:tcPr>
            <w:tcW w:w="793" w:type="dxa"/>
          </w:tcPr>
          <w:p w14:paraId="620CF48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15株</w:t>
            </w:r>
          </w:p>
        </w:tc>
        <w:tc>
          <w:tcPr>
            <w:tcW w:w="2186" w:type="dxa"/>
          </w:tcPr>
          <w:p w14:paraId="260CADC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F909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723" w:type="dxa"/>
            <w:vMerge w:val="continue"/>
            <w:tcBorders>
              <w:top w:val="nil"/>
              <w:bottom w:val="nil"/>
            </w:tcBorders>
          </w:tcPr>
          <w:p w14:paraId="0826F41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596F852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7</w:t>
            </w:r>
          </w:p>
        </w:tc>
        <w:tc>
          <w:tcPr>
            <w:tcW w:w="1372" w:type="dxa"/>
          </w:tcPr>
          <w:p w14:paraId="2653FEB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时令草花</w:t>
            </w:r>
          </w:p>
        </w:tc>
        <w:tc>
          <w:tcPr>
            <w:tcW w:w="2614" w:type="dxa"/>
          </w:tcPr>
          <w:p w14:paraId="7F605CC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蓬径30cm，分支4-5个</w:t>
            </w:r>
          </w:p>
        </w:tc>
        <w:tc>
          <w:tcPr>
            <w:tcW w:w="793" w:type="dxa"/>
          </w:tcPr>
          <w:p w14:paraId="2ED3CFA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100盆</w:t>
            </w:r>
          </w:p>
        </w:tc>
        <w:tc>
          <w:tcPr>
            <w:tcW w:w="2186" w:type="dxa"/>
          </w:tcPr>
          <w:p w14:paraId="0ED2FF1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2种各50盆</w:t>
            </w:r>
          </w:p>
        </w:tc>
      </w:tr>
      <w:tr w14:paraId="3F033D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23" w:type="dxa"/>
            <w:vMerge w:val="continue"/>
            <w:tcBorders>
              <w:top w:val="nil"/>
              <w:bottom w:val="nil"/>
            </w:tcBorders>
          </w:tcPr>
          <w:p w14:paraId="79EF503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6CE42AA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8</w:t>
            </w:r>
          </w:p>
        </w:tc>
        <w:tc>
          <w:tcPr>
            <w:tcW w:w="1372" w:type="dxa"/>
          </w:tcPr>
          <w:p w14:paraId="084489F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万年青</w:t>
            </w:r>
          </w:p>
        </w:tc>
        <w:tc>
          <w:tcPr>
            <w:tcW w:w="2614" w:type="dxa"/>
          </w:tcPr>
          <w:p w14:paraId="486D2E4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40*30cm（高*冠）</w:t>
            </w:r>
          </w:p>
        </w:tc>
        <w:tc>
          <w:tcPr>
            <w:tcW w:w="793" w:type="dxa"/>
          </w:tcPr>
          <w:p w14:paraId="1F95556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10盆</w:t>
            </w:r>
          </w:p>
        </w:tc>
        <w:tc>
          <w:tcPr>
            <w:tcW w:w="2186" w:type="dxa"/>
          </w:tcPr>
          <w:p w14:paraId="3EFB053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A1E77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723" w:type="dxa"/>
            <w:vMerge w:val="continue"/>
            <w:tcBorders>
              <w:top w:val="nil"/>
            </w:tcBorders>
          </w:tcPr>
          <w:p w14:paraId="7A65193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13850F6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9</w:t>
            </w:r>
          </w:p>
        </w:tc>
        <w:tc>
          <w:tcPr>
            <w:tcW w:w="1372" w:type="dxa"/>
          </w:tcPr>
          <w:p w14:paraId="72AB98E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草皮</w:t>
            </w:r>
          </w:p>
        </w:tc>
        <w:tc>
          <w:tcPr>
            <w:tcW w:w="2614" w:type="dxa"/>
          </w:tcPr>
          <w:p w14:paraId="3C16F87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面积足量</w:t>
            </w:r>
          </w:p>
        </w:tc>
        <w:tc>
          <w:tcPr>
            <w:tcW w:w="793" w:type="dxa"/>
          </w:tcPr>
          <w:p w14:paraId="5846DFF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20m</w:t>
            </w:r>
            <w:r>
              <w:rPr>
                <w:rFonts w:hint="eastAsia" w:ascii="黑体" w:hAnsi="黑体" w:eastAsia="黑体" w:cs="黑体"/>
                <w:sz w:val="24"/>
                <w:szCs w:val="24"/>
                <w:vertAlign w:val="superscript"/>
              </w:rPr>
              <w:t>2</w:t>
            </w:r>
          </w:p>
        </w:tc>
        <w:tc>
          <w:tcPr>
            <w:tcW w:w="2186" w:type="dxa"/>
          </w:tcPr>
          <w:p w14:paraId="320A244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2D3366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723" w:type="dxa"/>
            <w:tcBorders>
              <w:top w:val="nil"/>
            </w:tcBorders>
          </w:tcPr>
          <w:p w14:paraId="0DE3324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600C60E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w:t>
            </w:r>
          </w:p>
        </w:tc>
        <w:tc>
          <w:tcPr>
            <w:tcW w:w="1372" w:type="dxa"/>
          </w:tcPr>
          <w:p w14:paraId="55EE3D9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绿墙种植袋</w:t>
            </w:r>
          </w:p>
        </w:tc>
        <w:tc>
          <w:tcPr>
            <w:tcW w:w="2614" w:type="dxa"/>
          </w:tcPr>
          <w:p w14:paraId="2FBE4C4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高100cm</w:t>
            </w:r>
          </w:p>
        </w:tc>
        <w:tc>
          <w:tcPr>
            <w:tcW w:w="793" w:type="dxa"/>
          </w:tcPr>
          <w:p w14:paraId="3281525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4个</w:t>
            </w:r>
          </w:p>
        </w:tc>
        <w:tc>
          <w:tcPr>
            <w:tcW w:w="2186" w:type="dxa"/>
          </w:tcPr>
          <w:p w14:paraId="26412BA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396579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723" w:type="dxa"/>
            <w:vMerge w:val="restart"/>
          </w:tcPr>
          <w:p w14:paraId="27E8754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1BE7444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1233802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5CC85DF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0DCA9C7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30E2184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石材</w:t>
            </w:r>
          </w:p>
          <w:p w14:paraId="6CC9ACA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砖材</w:t>
            </w:r>
          </w:p>
        </w:tc>
        <w:tc>
          <w:tcPr>
            <w:tcW w:w="643" w:type="dxa"/>
          </w:tcPr>
          <w:p w14:paraId="0FF1C5E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w:t>
            </w:r>
          </w:p>
        </w:tc>
        <w:tc>
          <w:tcPr>
            <w:tcW w:w="1372" w:type="dxa"/>
          </w:tcPr>
          <w:p w14:paraId="4943231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花岗岩板1</w:t>
            </w:r>
          </w:p>
        </w:tc>
        <w:tc>
          <w:tcPr>
            <w:tcW w:w="2614" w:type="dxa"/>
          </w:tcPr>
          <w:p w14:paraId="2FA5E4D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500*250*30mm</w:t>
            </w:r>
          </w:p>
        </w:tc>
        <w:tc>
          <w:tcPr>
            <w:tcW w:w="793" w:type="dxa"/>
          </w:tcPr>
          <w:p w14:paraId="0A493B3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40块</w:t>
            </w:r>
          </w:p>
        </w:tc>
        <w:tc>
          <w:tcPr>
            <w:tcW w:w="2186" w:type="dxa"/>
          </w:tcPr>
          <w:p w14:paraId="3671736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芝麻白火烧面</w:t>
            </w:r>
          </w:p>
        </w:tc>
      </w:tr>
      <w:tr w14:paraId="0A7DA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723" w:type="dxa"/>
            <w:vMerge w:val="continue"/>
          </w:tcPr>
          <w:p w14:paraId="04F1501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3899C93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11</w:t>
            </w:r>
          </w:p>
        </w:tc>
        <w:tc>
          <w:tcPr>
            <w:tcW w:w="1372" w:type="dxa"/>
          </w:tcPr>
          <w:p w14:paraId="7EC7F99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花岗岩板2</w:t>
            </w:r>
          </w:p>
        </w:tc>
        <w:tc>
          <w:tcPr>
            <w:tcW w:w="2614" w:type="dxa"/>
          </w:tcPr>
          <w:p w14:paraId="58BE4CA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250*250*30mm</w:t>
            </w:r>
          </w:p>
        </w:tc>
        <w:tc>
          <w:tcPr>
            <w:tcW w:w="793" w:type="dxa"/>
          </w:tcPr>
          <w:p w14:paraId="178F6AD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40块</w:t>
            </w:r>
          </w:p>
        </w:tc>
        <w:tc>
          <w:tcPr>
            <w:tcW w:w="2186" w:type="dxa"/>
          </w:tcPr>
          <w:p w14:paraId="7401F76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芝麻白火烧面</w:t>
            </w:r>
          </w:p>
        </w:tc>
      </w:tr>
      <w:tr w14:paraId="7DF1E0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23" w:type="dxa"/>
            <w:vMerge w:val="continue"/>
          </w:tcPr>
          <w:p w14:paraId="120C4A5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7C8D979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12</w:t>
            </w:r>
          </w:p>
        </w:tc>
        <w:tc>
          <w:tcPr>
            <w:tcW w:w="1372" w:type="dxa"/>
          </w:tcPr>
          <w:p w14:paraId="5EFE6D5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压顶板1</w:t>
            </w:r>
          </w:p>
        </w:tc>
        <w:tc>
          <w:tcPr>
            <w:tcW w:w="2614" w:type="dxa"/>
          </w:tcPr>
          <w:p w14:paraId="61B4FCC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600*300*30mm</w:t>
            </w:r>
          </w:p>
        </w:tc>
        <w:tc>
          <w:tcPr>
            <w:tcW w:w="793" w:type="dxa"/>
          </w:tcPr>
          <w:p w14:paraId="7751CF7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4块</w:t>
            </w:r>
          </w:p>
        </w:tc>
        <w:tc>
          <w:tcPr>
            <w:tcW w:w="2186" w:type="dxa"/>
          </w:tcPr>
          <w:p w14:paraId="189096B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芝麻白火烧面</w:t>
            </w:r>
          </w:p>
        </w:tc>
      </w:tr>
      <w:tr w14:paraId="62712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723" w:type="dxa"/>
            <w:vMerge w:val="continue"/>
          </w:tcPr>
          <w:p w14:paraId="433A18D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26D8F3D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13</w:t>
            </w:r>
          </w:p>
        </w:tc>
        <w:tc>
          <w:tcPr>
            <w:tcW w:w="1372" w:type="dxa"/>
          </w:tcPr>
          <w:p w14:paraId="6C10186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压顶板2</w:t>
            </w:r>
          </w:p>
        </w:tc>
        <w:tc>
          <w:tcPr>
            <w:tcW w:w="2614" w:type="dxa"/>
          </w:tcPr>
          <w:p w14:paraId="4084632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300*150*30mm</w:t>
            </w:r>
          </w:p>
        </w:tc>
        <w:tc>
          <w:tcPr>
            <w:tcW w:w="793" w:type="dxa"/>
          </w:tcPr>
          <w:p w14:paraId="31DCE39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30块</w:t>
            </w:r>
          </w:p>
        </w:tc>
        <w:tc>
          <w:tcPr>
            <w:tcW w:w="2186" w:type="dxa"/>
          </w:tcPr>
          <w:p w14:paraId="02145E4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芝麻白火烧面</w:t>
            </w:r>
          </w:p>
        </w:tc>
      </w:tr>
      <w:tr w14:paraId="5DDBC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723" w:type="dxa"/>
            <w:vMerge w:val="continue"/>
          </w:tcPr>
          <w:p w14:paraId="2B49173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2E0C10E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14</w:t>
            </w:r>
          </w:p>
        </w:tc>
        <w:tc>
          <w:tcPr>
            <w:tcW w:w="1372" w:type="dxa"/>
          </w:tcPr>
          <w:p w14:paraId="1FF0BCF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景石</w:t>
            </w:r>
          </w:p>
        </w:tc>
        <w:tc>
          <w:tcPr>
            <w:tcW w:w="2614" w:type="dxa"/>
          </w:tcPr>
          <w:p w14:paraId="718F1EA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粒径300-500mm</w:t>
            </w:r>
          </w:p>
        </w:tc>
        <w:tc>
          <w:tcPr>
            <w:tcW w:w="793" w:type="dxa"/>
          </w:tcPr>
          <w:p w14:paraId="1A9810B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4块</w:t>
            </w:r>
          </w:p>
        </w:tc>
        <w:tc>
          <w:tcPr>
            <w:tcW w:w="2186" w:type="dxa"/>
          </w:tcPr>
          <w:p w14:paraId="56C4FAF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天然山石</w:t>
            </w:r>
          </w:p>
        </w:tc>
      </w:tr>
      <w:tr w14:paraId="678B1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23" w:type="dxa"/>
            <w:vMerge w:val="continue"/>
          </w:tcPr>
          <w:p w14:paraId="52C43EC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4DA8DC5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15</w:t>
            </w:r>
          </w:p>
        </w:tc>
        <w:tc>
          <w:tcPr>
            <w:tcW w:w="1372" w:type="dxa"/>
          </w:tcPr>
          <w:p w14:paraId="6219C81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青石岩片</w:t>
            </w:r>
          </w:p>
        </w:tc>
        <w:tc>
          <w:tcPr>
            <w:tcW w:w="2614" w:type="dxa"/>
          </w:tcPr>
          <w:p w14:paraId="121E66C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100-600mm、厚50-100mm</w:t>
            </w:r>
          </w:p>
        </w:tc>
        <w:tc>
          <w:tcPr>
            <w:tcW w:w="793" w:type="dxa"/>
          </w:tcPr>
          <w:p w14:paraId="33590E1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1.5m</w:t>
            </w:r>
            <w:r>
              <w:rPr>
                <w:rFonts w:hint="eastAsia" w:ascii="黑体" w:hAnsi="黑体" w:eastAsia="黑体" w:cs="黑体"/>
                <w:sz w:val="24"/>
                <w:szCs w:val="24"/>
                <w:vertAlign w:val="superscript"/>
              </w:rPr>
              <w:t>3</w:t>
            </w:r>
          </w:p>
        </w:tc>
        <w:tc>
          <w:tcPr>
            <w:tcW w:w="2186" w:type="dxa"/>
          </w:tcPr>
          <w:p w14:paraId="7A7EA4F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自然石墙、板凳基础可用</w:t>
            </w:r>
          </w:p>
        </w:tc>
      </w:tr>
      <w:tr w14:paraId="122B4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23" w:type="dxa"/>
            <w:vMerge w:val="continue"/>
          </w:tcPr>
          <w:p w14:paraId="5DEF1CC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39303B1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16</w:t>
            </w:r>
          </w:p>
        </w:tc>
        <w:tc>
          <w:tcPr>
            <w:tcW w:w="1372" w:type="dxa"/>
          </w:tcPr>
          <w:p w14:paraId="0A58973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小料石</w:t>
            </w:r>
          </w:p>
        </w:tc>
        <w:tc>
          <w:tcPr>
            <w:tcW w:w="2614" w:type="dxa"/>
          </w:tcPr>
          <w:p w14:paraId="03ACC32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100*100*50mm</w:t>
            </w:r>
          </w:p>
        </w:tc>
        <w:tc>
          <w:tcPr>
            <w:tcW w:w="793" w:type="dxa"/>
          </w:tcPr>
          <w:p w14:paraId="15C6E01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200个</w:t>
            </w:r>
          </w:p>
        </w:tc>
        <w:tc>
          <w:tcPr>
            <w:tcW w:w="2186" w:type="dxa"/>
          </w:tcPr>
          <w:p w14:paraId="0990C6E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自然面芝麻黑</w:t>
            </w:r>
          </w:p>
        </w:tc>
      </w:tr>
      <w:tr w14:paraId="27391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23" w:type="dxa"/>
            <w:vMerge w:val="continue"/>
          </w:tcPr>
          <w:p w14:paraId="20D84F9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2572B59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17</w:t>
            </w:r>
          </w:p>
        </w:tc>
        <w:tc>
          <w:tcPr>
            <w:tcW w:w="1372" w:type="dxa"/>
          </w:tcPr>
          <w:p w14:paraId="3CAE2CB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透水砖</w:t>
            </w:r>
          </w:p>
        </w:tc>
        <w:tc>
          <w:tcPr>
            <w:tcW w:w="2614" w:type="dxa"/>
          </w:tcPr>
          <w:p w14:paraId="00F72D4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 xml:space="preserve">230*115*53mm  </w:t>
            </w:r>
          </w:p>
        </w:tc>
        <w:tc>
          <w:tcPr>
            <w:tcW w:w="793" w:type="dxa"/>
          </w:tcPr>
          <w:p w14:paraId="25917FE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100块</w:t>
            </w:r>
          </w:p>
        </w:tc>
        <w:tc>
          <w:tcPr>
            <w:tcW w:w="2186" w:type="dxa"/>
          </w:tcPr>
          <w:p w14:paraId="59E4526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灰色</w:t>
            </w:r>
          </w:p>
        </w:tc>
      </w:tr>
      <w:tr w14:paraId="3AAC37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23" w:type="dxa"/>
            <w:vMerge w:val="continue"/>
          </w:tcPr>
          <w:p w14:paraId="5556F2E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03B23BC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18</w:t>
            </w:r>
          </w:p>
        </w:tc>
        <w:tc>
          <w:tcPr>
            <w:tcW w:w="1372" w:type="dxa"/>
          </w:tcPr>
          <w:p w14:paraId="67ACE8C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水泥砖</w:t>
            </w:r>
          </w:p>
        </w:tc>
        <w:tc>
          <w:tcPr>
            <w:tcW w:w="2614" w:type="dxa"/>
          </w:tcPr>
          <w:p w14:paraId="6F6C360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230*115*53mm</w:t>
            </w:r>
          </w:p>
        </w:tc>
        <w:tc>
          <w:tcPr>
            <w:tcW w:w="793" w:type="dxa"/>
          </w:tcPr>
          <w:p w14:paraId="2561627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400块</w:t>
            </w:r>
          </w:p>
        </w:tc>
        <w:tc>
          <w:tcPr>
            <w:tcW w:w="2186" w:type="dxa"/>
          </w:tcPr>
          <w:p w14:paraId="240A500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5DD520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23" w:type="dxa"/>
            <w:vMerge w:val="continue"/>
          </w:tcPr>
          <w:p w14:paraId="7BCA497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1A7056F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19</w:t>
            </w:r>
          </w:p>
        </w:tc>
        <w:tc>
          <w:tcPr>
            <w:tcW w:w="1372" w:type="dxa"/>
          </w:tcPr>
          <w:p w14:paraId="62C4C5D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卵石</w:t>
            </w:r>
          </w:p>
        </w:tc>
        <w:tc>
          <w:tcPr>
            <w:tcW w:w="2614" w:type="dxa"/>
          </w:tcPr>
          <w:p w14:paraId="31E715A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直径3-5cm</w:t>
            </w:r>
          </w:p>
        </w:tc>
        <w:tc>
          <w:tcPr>
            <w:tcW w:w="793" w:type="dxa"/>
          </w:tcPr>
          <w:p w14:paraId="0936C99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10袋</w:t>
            </w:r>
          </w:p>
        </w:tc>
        <w:tc>
          <w:tcPr>
            <w:tcW w:w="2186" w:type="dxa"/>
          </w:tcPr>
          <w:p w14:paraId="15E06D7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100斤/袋</w:t>
            </w:r>
          </w:p>
        </w:tc>
      </w:tr>
      <w:tr w14:paraId="6EAD2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23" w:type="dxa"/>
            <w:vMerge w:val="continue"/>
          </w:tcPr>
          <w:p w14:paraId="5456B63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1D98A8C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20</w:t>
            </w:r>
          </w:p>
        </w:tc>
        <w:tc>
          <w:tcPr>
            <w:tcW w:w="1372" w:type="dxa"/>
          </w:tcPr>
          <w:p w14:paraId="0490BE5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道牙石</w:t>
            </w:r>
          </w:p>
        </w:tc>
        <w:tc>
          <w:tcPr>
            <w:tcW w:w="2614" w:type="dxa"/>
          </w:tcPr>
          <w:p w14:paraId="3FE3628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600*300*100mm</w:t>
            </w:r>
          </w:p>
        </w:tc>
        <w:tc>
          <w:tcPr>
            <w:tcW w:w="793" w:type="dxa"/>
          </w:tcPr>
          <w:p w14:paraId="1147BB1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40个</w:t>
            </w:r>
          </w:p>
        </w:tc>
        <w:tc>
          <w:tcPr>
            <w:tcW w:w="2186" w:type="dxa"/>
          </w:tcPr>
          <w:p w14:paraId="07E170B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轻质砖</w:t>
            </w:r>
          </w:p>
        </w:tc>
      </w:tr>
      <w:tr w14:paraId="3F088B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723" w:type="dxa"/>
            <w:vMerge w:val="continue"/>
          </w:tcPr>
          <w:p w14:paraId="0311471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48E0246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21</w:t>
            </w:r>
          </w:p>
        </w:tc>
        <w:tc>
          <w:tcPr>
            <w:tcW w:w="1372" w:type="dxa"/>
          </w:tcPr>
          <w:p w14:paraId="59E24DD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小筒瓦</w:t>
            </w:r>
          </w:p>
        </w:tc>
        <w:tc>
          <w:tcPr>
            <w:tcW w:w="2614" w:type="dxa"/>
          </w:tcPr>
          <w:p w14:paraId="59D1966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110*110*50mm（厚10mm）</w:t>
            </w:r>
          </w:p>
        </w:tc>
        <w:tc>
          <w:tcPr>
            <w:tcW w:w="793" w:type="dxa"/>
          </w:tcPr>
          <w:p w14:paraId="588326E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120片</w:t>
            </w:r>
          </w:p>
        </w:tc>
        <w:tc>
          <w:tcPr>
            <w:tcW w:w="2186" w:type="dxa"/>
          </w:tcPr>
          <w:p w14:paraId="3A78956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深灰色</w:t>
            </w:r>
          </w:p>
        </w:tc>
      </w:tr>
      <w:tr w14:paraId="0CC7B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723" w:type="dxa"/>
            <w:vMerge w:val="restart"/>
            <w:tcBorders>
              <w:bottom w:val="nil"/>
            </w:tcBorders>
          </w:tcPr>
          <w:p w14:paraId="45E33DF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39CD2FE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木材</w:t>
            </w:r>
          </w:p>
        </w:tc>
        <w:tc>
          <w:tcPr>
            <w:tcW w:w="643" w:type="dxa"/>
          </w:tcPr>
          <w:p w14:paraId="0FB4995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22</w:t>
            </w:r>
          </w:p>
        </w:tc>
        <w:tc>
          <w:tcPr>
            <w:tcW w:w="1372" w:type="dxa"/>
          </w:tcPr>
          <w:p w14:paraId="1E6AD32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防腐木面板</w:t>
            </w:r>
          </w:p>
        </w:tc>
        <w:tc>
          <w:tcPr>
            <w:tcW w:w="2614" w:type="dxa"/>
          </w:tcPr>
          <w:p w14:paraId="03335C6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4000*90*15mm</w:t>
            </w:r>
          </w:p>
        </w:tc>
        <w:tc>
          <w:tcPr>
            <w:tcW w:w="793" w:type="dxa"/>
          </w:tcPr>
          <w:p w14:paraId="646BCD9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30块</w:t>
            </w:r>
          </w:p>
        </w:tc>
        <w:tc>
          <w:tcPr>
            <w:tcW w:w="2186" w:type="dxa"/>
            <w:vMerge w:val="restart"/>
            <w:tcBorders>
              <w:bottom w:val="nil"/>
            </w:tcBorders>
          </w:tcPr>
          <w:p w14:paraId="16BA868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松木类（断面尺寸误差2mm）</w:t>
            </w:r>
          </w:p>
        </w:tc>
      </w:tr>
      <w:tr w14:paraId="57A97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723" w:type="dxa"/>
            <w:vMerge w:val="continue"/>
            <w:tcBorders>
              <w:top w:val="nil"/>
              <w:bottom w:val="nil"/>
            </w:tcBorders>
          </w:tcPr>
          <w:p w14:paraId="65081B3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0309931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23</w:t>
            </w:r>
          </w:p>
        </w:tc>
        <w:tc>
          <w:tcPr>
            <w:tcW w:w="1372" w:type="dxa"/>
          </w:tcPr>
          <w:p w14:paraId="215C4EA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防腐木龙骨</w:t>
            </w:r>
          </w:p>
        </w:tc>
        <w:tc>
          <w:tcPr>
            <w:tcW w:w="2614" w:type="dxa"/>
          </w:tcPr>
          <w:p w14:paraId="6D41C46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4000*55*35mm</w:t>
            </w:r>
          </w:p>
        </w:tc>
        <w:tc>
          <w:tcPr>
            <w:tcW w:w="793" w:type="dxa"/>
          </w:tcPr>
          <w:p w14:paraId="0F1826DE">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10根</w:t>
            </w:r>
          </w:p>
        </w:tc>
        <w:tc>
          <w:tcPr>
            <w:tcW w:w="2186" w:type="dxa"/>
            <w:vMerge w:val="continue"/>
            <w:tcBorders>
              <w:top w:val="nil"/>
              <w:bottom w:val="nil"/>
            </w:tcBorders>
          </w:tcPr>
          <w:p w14:paraId="2C97D3E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FE099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23" w:type="dxa"/>
            <w:vMerge w:val="continue"/>
            <w:tcBorders>
              <w:top w:val="nil"/>
            </w:tcBorders>
          </w:tcPr>
          <w:p w14:paraId="1AC0D7E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7326BF8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24</w:t>
            </w:r>
          </w:p>
        </w:tc>
        <w:tc>
          <w:tcPr>
            <w:tcW w:w="1372" w:type="dxa"/>
          </w:tcPr>
          <w:p w14:paraId="308EBAB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防腐木立柱</w:t>
            </w:r>
          </w:p>
        </w:tc>
        <w:tc>
          <w:tcPr>
            <w:tcW w:w="2614" w:type="dxa"/>
          </w:tcPr>
          <w:p w14:paraId="6E9DF77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4000*85*85mm</w:t>
            </w:r>
          </w:p>
        </w:tc>
        <w:tc>
          <w:tcPr>
            <w:tcW w:w="793" w:type="dxa"/>
          </w:tcPr>
          <w:p w14:paraId="3D2C5DA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2根</w:t>
            </w:r>
          </w:p>
        </w:tc>
        <w:tc>
          <w:tcPr>
            <w:tcW w:w="2186" w:type="dxa"/>
            <w:vMerge w:val="continue"/>
            <w:tcBorders>
              <w:top w:val="nil"/>
            </w:tcBorders>
          </w:tcPr>
          <w:p w14:paraId="6A1201E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5A2AA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723" w:type="dxa"/>
            <w:vMerge w:val="restart"/>
            <w:tcBorders>
              <w:bottom w:val="nil"/>
            </w:tcBorders>
          </w:tcPr>
          <w:p w14:paraId="7665B4E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36DACA6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0293B74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水景</w:t>
            </w:r>
          </w:p>
        </w:tc>
        <w:tc>
          <w:tcPr>
            <w:tcW w:w="643" w:type="dxa"/>
          </w:tcPr>
          <w:p w14:paraId="77E9BFF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25</w:t>
            </w:r>
          </w:p>
        </w:tc>
        <w:tc>
          <w:tcPr>
            <w:tcW w:w="1372" w:type="dxa"/>
          </w:tcPr>
          <w:p w14:paraId="5D75EC3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水管</w:t>
            </w:r>
          </w:p>
        </w:tc>
        <w:tc>
          <w:tcPr>
            <w:tcW w:w="2614" w:type="dxa"/>
          </w:tcPr>
          <w:p w14:paraId="0FF35B5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4分白色蛇皮管子加厚，长30m</w:t>
            </w:r>
          </w:p>
        </w:tc>
        <w:tc>
          <w:tcPr>
            <w:tcW w:w="793" w:type="dxa"/>
          </w:tcPr>
          <w:p w14:paraId="0603C0EC">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1盘</w:t>
            </w:r>
          </w:p>
        </w:tc>
        <w:tc>
          <w:tcPr>
            <w:tcW w:w="2186" w:type="dxa"/>
          </w:tcPr>
          <w:p w14:paraId="590CC69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配相应水管卡箍5个</w:t>
            </w:r>
          </w:p>
        </w:tc>
      </w:tr>
      <w:tr w14:paraId="01E14F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723" w:type="dxa"/>
            <w:vMerge w:val="continue"/>
            <w:tcBorders>
              <w:top w:val="nil"/>
              <w:bottom w:val="nil"/>
            </w:tcBorders>
          </w:tcPr>
          <w:p w14:paraId="3194F1C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3A0D04D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26</w:t>
            </w:r>
          </w:p>
        </w:tc>
        <w:tc>
          <w:tcPr>
            <w:tcW w:w="1372" w:type="dxa"/>
          </w:tcPr>
          <w:p w14:paraId="20805F6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潜水泵</w:t>
            </w:r>
          </w:p>
        </w:tc>
        <w:tc>
          <w:tcPr>
            <w:tcW w:w="2614" w:type="dxa"/>
          </w:tcPr>
          <w:p w14:paraId="77D82F4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功率40w、流量大于39L/min</w:t>
            </w:r>
          </w:p>
        </w:tc>
        <w:tc>
          <w:tcPr>
            <w:tcW w:w="793" w:type="dxa"/>
          </w:tcPr>
          <w:p w14:paraId="3B9AC09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1台</w:t>
            </w:r>
          </w:p>
        </w:tc>
        <w:tc>
          <w:tcPr>
            <w:tcW w:w="2186" w:type="dxa"/>
          </w:tcPr>
          <w:p w14:paraId="3ADB15D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尺寸小300*300</w:t>
            </w:r>
          </w:p>
        </w:tc>
      </w:tr>
      <w:tr w14:paraId="01AB8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723" w:type="dxa"/>
            <w:vMerge w:val="continue"/>
            <w:tcBorders>
              <w:top w:val="nil"/>
            </w:tcBorders>
          </w:tcPr>
          <w:p w14:paraId="3BC58A6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245C4D5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27</w:t>
            </w:r>
          </w:p>
        </w:tc>
        <w:tc>
          <w:tcPr>
            <w:tcW w:w="1372" w:type="dxa"/>
          </w:tcPr>
          <w:p w14:paraId="040F057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铁皮出水口</w:t>
            </w:r>
          </w:p>
        </w:tc>
        <w:tc>
          <w:tcPr>
            <w:tcW w:w="2614" w:type="dxa"/>
          </w:tcPr>
          <w:p w14:paraId="4F51E61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120*120*10mm</w:t>
            </w:r>
          </w:p>
        </w:tc>
        <w:tc>
          <w:tcPr>
            <w:tcW w:w="793" w:type="dxa"/>
          </w:tcPr>
          <w:p w14:paraId="13F6141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1个</w:t>
            </w:r>
          </w:p>
        </w:tc>
        <w:tc>
          <w:tcPr>
            <w:tcW w:w="2186" w:type="dxa"/>
          </w:tcPr>
          <w:p w14:paraId="626CC41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2372C5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723" w:type="dxa"/>
            <w:vMerge w:val="restart"/>
          </w:tcPr>
          <w:p w14:paraId="2B5EEFF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p w14:paraId="7428B43E">
            <w:pPr>
              <w:widowControl/>
              <w:kinsoku w:val="0"/>
              <w:autoSpaceDE w:val="0"/>
              <w:autoSpaceDN w:val="0"/>
              <w:adjustRightInd w:val="0"/>
              <w:snapToGrid w:val="0"/>
              <w:spacing w:before="62" w:after="62" w:line="620" w:lineRule="exact"/>
              <w:ind w:firstLine="0" w:firstLineChars="0"/>
              <w:textAlignment w:val="baseline"/>
              <w:rPr>
                <w:rFonts w:hint="eastAsia" w:ascii="黑体" w:hAnsi="黑体" w:eastAsia="黑体" w:cs="黑体"/>
                <w:sz w:val="24"/>
                <w:szCs w:val="24"/>
              </w:rPr>
            </w:pPr>
          </w:p>
          <w:p w14:paraId="5897936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其他</w:t>
            </w:r>
          </w:p>
        </w:tc>
        <w:tc>
          <w:tcPr>
            <w:tcW w:w="643" w:type="dxa"/>
          </w:tcPr>
          <w:p w14:paraId="49FDB69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28</w:t>
            </w:r>
          </w:p>
        </w:tc>
        <w:tc>
          <w:tcPr>
            <w:tcW w:w="1372" w:type="dxa"/>
          </w:tcPr>
          <w:p w14:paraId="2552D49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电源插板</w:t>
            </w:r>
          </w:p>
        </w:tc>
        <w:tc>
          <w:tcPr>
            <w:tcW w:w="2614" w:type="dxa"/>
          </w:tcPr>
          <w:p w14:paraId="75B16F0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15孔，线长5m</w:t>
            </w:r>
          </w:p>
        </w:tc>
        <w:tc>
          <w:tcPr>
            <w:tcW w:w="793" w:type="dxa"/>
          </w:tcPr>
          <w:p w14:paraId="32FC594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2个</w:t>
            </w:r>
          </w:p>
        </w:tc>
        <w:tc>
          <w:tcPr>
            <w:tcW w:w="2186" w:type="dxa"/>
          </w:tcPr>
          <w:p w14:paraId="15F9991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4B818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723" w:type="dxa"/>
            <w:vMerge w:val="continue"/>
          </w:tcPr>
          <w:p w14:paraId="051CDC0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3F324D0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29</w:t>
            </w:r>
          </w:p>
        </w:tc>
        <w:tc>
          <w:tcPr>
            <w:tcW w:w="1372" w:type="dxa"/>
          </w:tcPr>
          <w:p w14:paraId="07C2579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自攻螺丝</w:t>
            </w:r>
          </w:p>
        </w:tc>
        <w:tc>
          <w:tcPr>
            <w:tcW w:w="2614" w:type="dxa"/>
          </w:tcPr>
          <w:p w14:paraId="45A634D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5cm长2盒8cm长2盒</w:t>
            </w:r>
          </w:p>
        </w:tc>
        <w:tc>
          <w:tcPr>
            <w:tcW w:w="793" w:type="dxa"/>
          </w:tcPr>
          <w:p w14:paraId="1445C37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4盒</w:t>
            </w:r>
          </w:p>
        </w:tc>
        <w:tc>
          <w:tcPr>
            <w:tcW w:w="2186" w:type="dxa"/>
          </w:tcPr>
          <w:p w14:paraId="5367ADC0">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100个/盒</w:t>
            </w:r>
          </w:p>
        </w:tc>
      </w:tr>
      <w:tr w14:paraId="21F73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723" w:type="dxa"/>
            <w:vMerge w:val="continue"/>
          </w:tcPr>
          <w:p w14:paraId="433AF0A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Pr>
          <w:p w14:paraId="472F7091">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30</w:t>
            </w:r>
          </w:p>
        </w:tc>
        <w:tc>
          <w:tcPr>
            <w:tcW w:w="1372" w:type="dxa"/>
          </w:tcPr>
          <w:p w14:paraId="01FE371B">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防水膜</w:t>
            </w:r>
          </w:p>
        </w:tc>
        <w:tc>
          <w:tcPr>
            <w:tcW w:w="2614" w:type="dxa"/>
          </w:tcPr>
          <w:p w14:paraId="1094C4C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加厚薄膜</w:t>
            </w:r>
          </w:p>
        </w:tc>
        <w:tc>
          <w:tcPr>
            <w:tcW w:w="793" w:type="dxa"/>
          </w:tcPr>
          <w:p w14:paraId="364DC21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20m</w:t>
            </w:r>
            <w:r>
              <w:rPr>
                <w:rFonts w:hint="eastAsia" w:ascii="黑体" w:hAnsi="黑体" w:eastAsia="黑体" w:cs="黑体"/>
                <w:sz w:val="24"/>
                <w:szCs w:val="24"/>
                <w:vertAlign w:val="superscript"/>
              </w:rPr>
              <w:t>2</w:t>
            </w:r>
          </w:p>
        </w:tc>
        <w:tc>
          <w:tcPr>
            <w:tcW w:w="2186" w:type="dxa"/>
          </w:tcPr>
          <w:p w14:paraId="601BB4E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宽度4米</w:t>
            </w:r>
          </w:p>
        </w:tc>
      </w:tr>
      <w:tr w14:paraId="484B3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723" w:type="dxa"/>
            <w:vMerge w:val="continue"/>
          </w:tcPr>
          <w:p w14:paraId="24BA876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Borders>
              <w:bottom w:val="single" w:color="auto" w:sz="4" w:space="0"/>
            </w:tcBorders>
          </w:tcPr>
          <w:p w14:paraId="22E8CBB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31</w:t>
            </w:r>
          </w:p>
        </w:tc>
        <w:tc>
          <w:tcPr>
            <w:tcW w:w="1372" w:type="dxa"/>
          </w:tcPr>
          <w:p w14:paraId="57DCE54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黄沙</w:t>
            </w:r>
          </w:p>
        </w:tc>
        <w:tc>
          <w:tcPr>
            <w:tcW w:w="2614" w:type="dxa"/>
          </w:tcPr>
          <w:p w14:paraId="5054C9E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细砂</w:t>
            </w:r>
          </w:p>
        </w:tc>
        <w:tc>
          <w:tcPr>
            <w:tcW w:w="793" w:type="dxa"/>
          </w:tcPr>
          <w:p w14:paraId="5FD29F72">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3袋</w:t>
            </w:r>
          </w:p>
        </w:tc>
        <w:tc>
          <w:tcPr>
            <w:tcW w:w="2186" w:type="dxa"/>
          </w:tcPr>
          <w:p w14:paraId="2E3BD44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不够提出申请增加</w:t>
            </w:r>
          </w:p>
        </w:tc>
      </w:tr>
      <w:tr w14:paraId="6C553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23" w:type="dxa"/>
            <w:vMerge w:val="continue"/>
          </w:tcPr>
          <w:p w14:paraId="09AC4946">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643" w:type="dxa"/>
            <w:tcBorders>
              <w:top w:val="single" w:color="auto" w:sz="4" w:space="0"/>
              <w:left w:val="single" w:color="auto" w:sz="4" w:space="0"/>
              <w:bottom w:val="single" w:color="auto" w:sz="4" w:space="0"/>
              <w:right w:val="single" w:color="auto" w:sz="4" w:space="0"/>
            </w:tcBorders>
          </w:tcPr>
          <w:p w14:paraId="3183BAED">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32</w:t>
            </w:r>
          </w:p>
        </w:tc>
        <w:tc>
          <w:tcPr>
            <w:tcW w:w="1372" w:type="dxa"/>
            <w:tcBorders>
              <w:top w:val="single" w:color="auto" w:sz="4" w:space="0"/>
              <w:left w:val="single" w:color="auto" w:sz="4" w:space="0"/>
              <w:bottom w:val="single" w:color="auto" w:sz="4" w:space="0"/>
              <w:right w:val="single" w:color="auto" w:sz="4" w:space="0"/>
            </w:tcBorders>
          </w:tcPr>
          <w:p w14:paraId="25A6EE4A">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水泥</w:t>
            </w:r>
          </w:p>
        </w:tc>
        <w:tc>
          <w:tcPr>
            <w:tcW w:w="2614" w:type="dxa"/>
            <w:tcBorders>
              <w:top w:val="single" w:color="auto" w:sz="4" w:space="0"/>
              <w:left w:val="single" w:color="auto" w:sz="4" w:space="0"/>
              <w:bottom w:val="single" w:color="auto" w:sz="4" w:space="0"/>
              <w:right w:val="single" w:color="auto" w:sz="4" w:space="0"/>
            </w:tcBorders>
          </w:tcPr>
          <w:p w14:paraId="10105EB5">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793" w:type="dxa"/>
            <w:tcBorders>
              <w:top w:val="single" w:color="auto" w:sz="4" w:space="0"/>
              <w:left w:val="single" w:color="auto" w:sz="4" w:space="0"/>
              <w:bottom w:val="single" w:color="auto" w:sz="4" w:space="0"/>
              <w:right w:val="single" w:color="auto" w:sz="4" w:space="0"/>
            </w:tcBorders>
          </w:tcPr>
          <w:p w14:paraId="5F0E06B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2袋</w:t>
            </w:r>
          </w:p>
        </w:tc>
        <w:tc>
          <w:tcPr>
            <w:tcW w:w="2186" w:type="dxa"/>
            <w:tcBorders>
              <w:top w:val="single" w:color="auto" w:sz="4" w:space="0"/>
              <w:left w:val="single" w:color="auto" w:sz="4" w:space="0"/>
              <w:bottom w:val="single" w:color="auto" w:sz="4" w:space="0"/>
              <w:right w:val="single" w:color="auto" w:sz="4" w:space="0"/>
            </w:tcBorders>
          </w:tcPr>
          <w:p w14:paraId="382486D4">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r w14:paraId="5F40D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23" w:type="dxa"/>
            <w:vMerge w:val="continue"/>
            <w:tcBorders>
              <w:bottom w:val="single" w:color="auto" w:sz="4" w:space="0"/>
            </w:tcBorders>
          </w:tcPr>
          <w:p w14:paraId="1D729641">
            <w:pPr>
              <w:widowControl/>
              <w:kinsoku w:val="0"/>
              <w:autoSpaceDE w:val="0"/>
              <w:autoSpaceDN w:val="0"/>
              <w:adjustRightInd w:val="0"/>
              <w:snapToGrid w:val="0"/>
              <w:spacing w:before="62" w:after="62" w:line="620" w:lineRule="exact"/>
              <w:ind w:firstLine="0" w:firstLineChars="0"/>
              <w:textAlignment w:val="baseline"/>
              <w:rPr>
                <w:rFonts w:hint="eastAsia" w:ascii="黑体" w:hAnsi="黑体" w:eastAsia="黑体" w:cs="黑体"/>
                <w:sz w:val="24"/>
                <w:szCs w:val="24"/>
              </w:rPr>
            </w:pPr>
          </w:p>
        </w:tc>
        <w:tc>
          <w:tcPr>
            <w:tcW w:w="643" w:type="dxa"/>
            <w:tcBorders>
              <w:top w:val="single" w:color="auto" w:sz="4" w:space="0"/>
              <w:left w:val="single" w:color="auto" w:sz="4" w:space="0"/>
              <w:bottom w:val="single" w:color="auto" w:sz="4" w:space="0"/>
              <w:right w:val="single" w:color="auto" w:sz="4" w:space="0"/>
            </w:tcBorders>
          </w:tcPr>
          <w:p w14:paraId="4FFAF349">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33</w:t>
            </w:r>
          </w:p>
        </w:tc>
        <w:tc>
          <w:tcPr>
            <w:tcW w:w="1372" w:type="dxa"/>
            <w:tcBorders>
              <w:top w:val="single" w:color="auto" w:sz="4" w:space="0"/>
              <w:left w:val="single" w:color="auto" w:sz="4" w:space="0"/>
              <w:bottom w:val="single" w:color="auto" w:sz="4" w:space="0"/>
              <w:right w:val="single" w:color="auto" w:sz="4" w:space="0"/>
            </w:tcBorders>
          </w:tcPr>
          <w:p w14:paraId="69540FC8">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放线白灰</w:t>
            </w:r>
          </w:p>
        </w:tc>
        <w:tc>
          <w:tcPr>
            <w:tcW w:w="2614" w:type="dxa"/>
            <w:tcBorders>
              <w:top w:val="single" w:color="auto" w:sz="4" w:space="0"/>
              <w:left w:val="single" w:color="auto" w:sz="4" w:space="0"/>
              <w:bottom w:val="single" w:color="auto" w:sz="4" w:space="0"/>
              <w:right w:val="single" w:color="auto" w:sz="4" w:space="0"/>
            </w:tcBorders>
          </w:tcPr>
          <w:p w14:paraId="58EE6ACF">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c>
          <w:tcPr>
            <w:tcW w:w="793" w:type="dxa"/>
            <w:tcBorders>
              <w:top w:val="single" w:color="auto" w:sz="4" w:space="0"/>
              <w:left w:val="single" w:color="auto" w:sz="4" w:space="0"/>
              <w:bottom w:val="single" w:color="auto" w:sz="4" w:space="0"/>
              <w:right w:val="single" w:color="auto" w:sz="4" w:space="0"/>
            </w:tcBorders>
          </w:tcPr>
          <w:p w14:paraId="4D846A67">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r>
              <w:rPr>
                <w:rFonts w:hint="eastAsia" w:ascii="黑体" w:hAnsi="黑体" w:eastAsia="黑体" w:cs="黑体"/>
                <w:sz w:val="24"/>
                <w:szCs w:val="24"/>
              </w:rPr>
              <w:t>1袋</w:t>
            </w:r>
          </w:p>
        </w:tc>
        <w:tc>
          <w:tcPr>
            <w:tcW w:w="2186" w:type="dxa"/>
            <w:tcBorders>
              <w:top w:val="single" w:color="auto" w:sz="4" w:space="0"/>
              <w:left w:val="single" w:color="auto" w:sz="4" w:space="0"/>
              <w:bottom w:val="single" w:color="auto" w:sz="4" w:space="0"/>
              <w:right w:val="single" w:color="auto" w:sz="4" w:space="0"/>
            </w:tcBorders>
          </w:tcPr>
          <w:p w14:paraId="6BF2DE23">
            <w:pPr>
              <w:widowControl/>
              <w:kinsoku w:val="0"/>
              <w:autoSpaceDE w:val="0"/>
              <w:autoSpaceDN w:val="0"/>
              <w:adjustRightInd w:val="0"/>
              <w:snapToGrid w:val="0"/>
              <w:spacing w:before="62" w:after="62" w:line="620" w:lineRule="exact"/>
              <w:ind w:firstLine="0" w:firstLineChars="0"/>
              <w:jc w:val="center"/>
              <w:textAlignment w:val="baseline"/>
              <w:rPr>
                <w:rFonts w:hint="eastAsia" w:ascii="黑体" w:hAnsi="黑体" w:eastAsia="黑体" w:cs="黑体"/>
                <w:sz w:val="24"/>
                <w:szCs w:val="24"/>
              </w:rPr>
            </w:pPr>
          </w:p>
        </w:tc>
      </w:tr>
    </w:tbl>
    <w:p w14:paraId="55141A4A">
      <w:pPr>
        <w:spacing w:before="62" w:after="62"/>
        <w:ind w:firstLine="0" w:firstLineChars="0"/>
        <w:rPr>
          <w:rFonts w:hint="eastAsia" w:ascii="黑体" w:hAnsi="黑体" w:eastAsia="黑体" w:cs="黑体"/>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yMjViYTgwYzIwNDUyMTk3NmRlYzM0OGZmNGI0ODQifQ=="/>
  </w:docVars>
  <w:rsids>
    <w:rsidRoot w:val="226E773E"/>
    <w:rsid w:val="00003DBA"/>
    <w:rsid w:val="00060C9A"/>
    <w:rsid w:val="00076387"/>
    <w:rsid w:val="00080D6D"/>
    <w:rsid w:val="000A6811"/>
    <w:rsid w:val="000B5E50"/>
    <w:rsid w:val="000E36CD"/>
    <w:rsid w:val="000E47F2"/>
    <w:rsid w:val="0011077E"/>
    <w:rsid w:val="00123C0C"/>
    <w:rsid w:val="001E3018"/>
    <w:rsid w:val="001F0647"/>
    <w:rsid w:val="0026154C"/>
    <w:rsid w:val="0026511D"/>
    <w:rsid w:val="00276426"/>
    <w:rsid w:val="00280050"/>
    <w:rsid w:val="00294B9E"/>
    <w:rsid w:val="002F0E29"/>
    <w:rsid w:val="002F5BBB"/>
    <w:rsid w:val="00303871"/>
    <w:rsid w:val="00316B81"/>
    <w:rsid w:val="003457EF"/>
    <w:rsid w:val="003472CE"/>
    <w:rsid w:val="00374EB4"/>
    <w:rsid w:val="003D5699"/>
    <w:rsid w:val="003E08A6"/>
    <w:rsid w:val="003F6D90"/>
    <w:rsid w:val="004002B0"/>
    <w:rsid w:val="00404C1C"/>
    <w:rsid w:val="004079CD"/>
    <w:rsid w:val="004119D1"/>
    <w:rsid w:val="00415241"/>
    <w:rsid w:val="00456D37"/>
    <w:rsid w:val="00465679"/>
    <w:rsid w:val="004760CD"/>
    <w:rsid w:val="004A5321"/>
    <w:rsid w:val="004C5EB2"/>
    <w:rsid w:val="004D55BA"/>
    <w:rsid w:val="004E742F"/>
    <w:rsid w:val="004E76D0"/>
    <w:rsid w:val="0055273F"/>
    <w:rsid w:val="005578E3"/>
    <w:rsid w:val="005925B5"/>
    <w:rsid w:val="005A49CD"/>
    <w:rsid w:val="00615E6F"/>
    <w:rsid w:val="006435E7"/>
    <w:rsid w:val="00665D68"/>
    <w:rsid w:val="00675200"/>
    <w:rsid w:val="006808E9"/>
    <w:rsid w:val="006A3B54"/>
    <w:rsid w:val="006A7680"/>
    <w:rsid w:val="006B4F65"/>
    <w:rsid w:val="006C17E1"/>
    <w:rsid w:val="006C5630"/>
    <w:rsid w:val="006C6EF4"/>
    <w:rsid w:val="006E2B59"/>
    <w:rsid w:val="00703AF2"/>
    <w:rsid w:val="00706D08"/>
    <w:rsid w:val="00757A41"/>
    <w:rsid w:val="007A2E43"/>
    <w:rsid w:val="007B06A3"/>
    <w:rsid w:val="007F479F"/>
    <w:rsid w:val="00832087"/>
    <w:rsid w:val="00856654"/>
    <w:rsid w:val="0087729D"/>
    <w:rsid w:val="008B6CF6"/>
    <w:rsid w:val="008C38F4"/>
    <w:rsid w:val="00905EF2"/>
    <w:rsid w:val="00942555"/>
    <w:rsid w:val="00977074"/>
    <w:rsid w:val="009A64A1"/>
    <w:rsid w:val="009E7FB0"/>
    <w:rsid w:val="009F4CCA"/>
    <w:rsid w:val="00A151B7"/>
    <w:rsid w:val="00A32497"/>
    <w:rsid w:val="00A34390"/>
    <w:rsid w:val="00A80380"/>
    <w:rsid w:val="00A961FA"/>
    <w:rsid w:val="00AA4A8F"/>
    <w:rsid w:val="00B27D73"/>
    <w:rsid w:val="00B3798B"/>
    <w:rsid w:val="00B4012C"/>
    <w:rsid w:val="00B403CC"/>
    <w:rsid w:val="00B45619"/>
    <w:rsid w:val="00B635C5"/>
    <w:rsid w:val="00B65234"/>
    <w:rsid w:val="00B734F1"/>
    <w:rsid w:val="00B87C80"/>
    <w:rsid w:val="00BC3B94"/>
    <w:rsid w:val="00BD5FE4"/>
    <w:rsid w:val="00C05A26"/>
    <w:rsid w:val="00C47857"/>
    <w:rsid w:val="00C56989"/>
    <w:rsid w:val="00C77FF4"/>
    <w:rsid w:val="00C8659E"/>
    <w:rsid w:val="00C8687F"/>
    <w:rsid w:val="00C920D0"/>
    <w:rsid w:val="00C93518"/>
    <w:rsid w:val="00CB6FB7"/>
    <w:rsid w:val="00CC75AD"/>
    <w:rsid w:val="00CF5A1F"/>
    <w:rsid w:val="00CF6E77"/>
    <w:rsid w:val="00D01637"/>
    <w:rsid w:val="00D247E5"/>
    <w:rsid w:val="00D6596C"/>
    <w:rsid w:val="00D70D24"/>
    <w:rsid w:val="00D71156"/>
    <w:rsid w:val="00D942D7"/>
    <w:rsid w:val="00DB63EA"/>
    <w:rsid w:val="00DC7E8B"/>
    <w:rsid w:val="00DE735F"/>
    <w:rsid w:val="00DF79CC"/>
    <w:rsid w:val="00E07E37"/>
    <w:rsid w:val="00E11F54"/>
    <w:rsid w:val="00E14DD6"/>
    <w:rsid w:val="00E3625C"/>
    <w:rsid w:val="00E5252F"/>
    <w:rsid w:val="00E61180"/>
    <w:rsid w:val="00E65FA7"/>
    <w:rsid w:val="00E707B1"/>
    <w:rsid w:val="00E94E45"/>
    <w:rsid w:val="00EA026E"/>
    <w:rsid w:val="00EA527A"/>
    <w:rsid w:val="00EA5534"/>
    <w:rsid w:val="00EB4B0E"/>
    <w:rsid w:val="00EB4EE6"/>
    <w:rsid w:val="00EC0E6A"/>
    <w:rsid w:val="00ED24B7"/>
    <w:rsid w:val="00ED2C5B"/>
    <w:rsid w:val="00EE1FCE"/>
    <w:rsid w:val="00F01B04"/>
    <w:rsid w:val="00F231C6"/>
    <w:rsid w:val="00F3003E"/>
    <w:rsid w:val="00F4084A"/>
    <w:rsid w:val="00F50CE3"/>
    <w:rsid w:val="00F83A46"/>
    <w:rsid w:val="00FA4B8F"/>
    <w:rsid w:val="00FC1341"/>
    <w:rsid w:val="00FE7F89"/>
    <w:rsid w:val="00FF0E9F"/>
    <w:rsid w:val="011A1B25"/>
    <w:rsid w:val="01C505DD"/>
    <w:rsid w:val="025C0AFF"/>
    <w:rsid w:val="02C7008C"/>
    <w:rsid w:val="02E60D0A"/>
    <w:rsid w:val="033E696D"/>
    <w:rsid w:val="03FF270D"/>
    <w:rsid w:val="042217C6"/>
    <w:rsid w:val="042E1D67"/>
    <w:rsid w:val="046E08A6"/>
    <w:rsid w:val="04B26722"/>
    <w:rsid w:val="051F301E"/>
    <w:rsid w:val="052E09FC"/>
    <w:rsid w:val="067552E3"/>
    <w:rsid w:val="08106C9C"/>
    <w:rsid w:val="09AD18EF"/>
    <w:rsid w:val="0A502DAA"/>
    <w:rsid w:val="0A7116E4"/>
    <w:rsid w:val="0AEE6F6C"/>
    <w:rsid w:val="0B0B1525"/>
    <w:rsid w:val="0BE70716"/>
    <w:rsid w:val="0D4263B2"/>
    <w:rsid w:val="0D473862"/>
    <w:rsid w:val="103A4F72"/>
    <w:rsid w:val="10422646"/>
    <w:rsid w:val="127C388C"/>
    <w:rsid w:val="12ED1714"/>
    <w:rsid w:val="13986E27"/>
    <w:rsid w:val="14235014"/>
    <w:rsid w:val="159409A4"/>
    <w:rsid w:val="15F4621D"/>
    <w:rsid w:val="16322015"/>
    <w:rsid w:val="168A07B6"/>
    <w:rsid w:val="178E7A6B"/>
    <w:rsid w:val="17954825"/>
    <w:rsid w:val="17AE0DC7"/>
    <w:rsid w:val="17F222E6"/>
    <w:rsid w:val="18394D43"/>
    <w:rsid w:val="191B6B5E"/>
    <w:rsid w:val="1AC9533C"/>
    <w:rsid w:val="1ADB6701"/>
    <w:rsid w:val="1B9779D3"/>
    <w:rsid w:val="1B990F59"/>
    <w:rsid w:val="1C9F71AC"/>
    <w:rsid w:val="1D5B2324"/>
    <w:rsid w:val="1E0774B7"/>
    <w:rsid w:val="1EEE0672"/>
    <w:rsid w:val="1F04287B"/>
    <w:rsid w:val="1F205024"/>
    <w:rsid w:val="1F8174C9"/>
    <w:rsid w:val="21787096"/>
    <w:rsid w:val="21894FE0"/>
    <w:rsid w:val="218C2D2A"/>
    <w:rsid w:val="226E773E"/>
    <w:rsid w:val="22B34E1F"/>
    <w:rsid w:val="22E5785E"/>
    <w:rsid w:val="237176BE"/>
    <w:rsid w:val="23BB55E9"/>
    <w:rsid w:val="23C1597A"/>
    <w:rsid w:val="23FF339B"/>
    <w:rsid w:val="24E75DCB"/>
    <w:rsid w:val="24EB168B"/>
    <w:rsid w:val="250705F5"/>
    <w:rsid w:val="25973F8F"/>
    <w:rsid w:val="25A65994"/>
    <w:rsid w:val="26581B5B"/>
    <w:rsid w:val="26C962A1"/>
    <w:rsid w:val="26E50781"/>
    <w:rsid w:val="27636976"/>
    <w:rsid w:val="276853A1"/>
    <w:rsid w:val="2883504A"/>
    <w:rsid w:val="292639CA"/>
    <w:rsid w:val="29723674"/>
    <w:rsid w:val="297B7C6F"/>
    <w:rsid w:val="2999069F"/>
    <w:rsid w:val="2AB111DC"/>
    <w:rsid w:val="2B236314"/>
    <w:rsid w:val="2B877BA1"/>
    <w:rsid w:val="2BED0FCE"/>
    <w:rsid w:val="2C13388F"/>
    <w:rsid w:val="2C167BD8"/>
    <w:rsid w:val="2CB7400D"/>
    <w:rsid w:val="2D1D25A4"/>
    <w:rsid w:val="2DFC6ED3"/>
    <w:rsid w:val="2E4E02ED"/>
    <w:rsid w:val="2E687539"/>
    <w:rsid w:val="2ECC22A3"/>
    <w:rsid w:val="2F0F628E"/>
    <w:rsid w:val="2F401DA8"/>
    <w:rsid w:val="2FF17870"/>
    <w:rsid w:val="2FF507A8"/>
    <w:rsid w:val="30136908"/>
    <w:rsid w:val="32076E85"/>
    <w:rsid w:val="32EF73F8"/>
    <w:rsid w:val="34626C95"/>
    <w:rsid w:val="34A656A7"/>
    <w:rsid w:val="35894B33"/>
    <w:rsid w:val="35CC6B8E"/>
    <w:rsid w:val="3681608B"/>
    <w:rsid w:val="38843346"/>
    <w:rsid w:val="38C339CB"/>
    <w:rsid w:val="392642EF"/>
    <w:rsid w:val="3962525B"/>
    <w:rsid w:val="39A21157"/>
    <w:rsid w:val="3A0B3F39"/>
    <w:rsid w:val="3A4F3C4F"/>
    <w:rsid w:val="3C1112C7"/>
    <w:rsid w:val="3CE67E4F"/>
    <w:rsid w:val="3DEE3166"/>
    <w:rsid w:val="3E2D3F16"/>
    <w:rsid w:val="3E7336CC"/>
    <w:rsid w:val="3F1933C2"/>
    <w:rsid w:val="3FA7503A"/>
    <w:rsid w:val="3FFE4157"/>
    <w:rsid w:val="406E6735"/>
    <w:rsid w:val="42DE7D7D"/>
    <w:rsid w:val="43777DE9"/>
    <w:rsid w:val="43A008BC"/>
    <w:rsid w:val="44E74225"/>
    <w:rsid w:val="453F347A"/>
    <w:rsid w:val="458C1068"/>
    <w:rsid w:val="462A2F37"/>
    <w:rsid w:val="467070ED"/>
    <w:rsid w:val="474D475A"/>
    <w:rsid w:val="487C285F"/>
    <w:rsid w:val="4BE513DA"/>
    <w:rsid w:val="4C2061DD"/>
    <w:rsid w:val="4C3E2B05"/>
    <w:rsid w:val="4C7014CF"/>
    <w:rsid w:val="4D6B725C"/>
    <w:rsid w:val="4F053468"/>
    <w:rsid w:val="502C19BA"/>
    <w:rsid w:val="50371D47"/>
    <w:rsid w:val="51574875"/>
    <w:rsid w:val="51E46E1A"/>
    <w:rsid w:val="520A3597"/>
    <w:rsid w:val="53590A04"/>
    <w:rsid w:val="539F3D38"/>
    <w:rsid w:val="53A1493B"/>
    <w:rsid w:val="53A93F33"/>
    <w:rsid w:val="54290156"/>
    <w:rsid w:val="546E2144"/>
    <w:rsid w:val="547333CB"/>
    <w:rsid w:val="54C75DFC"/>
    <w:rsid w:val="551A688B"/>
    <w:rsid w:val="55551AC9"/>
    <w:rsid w:val="56120CBB"/>
    <w:rsid w:val="56A406D9"/>
    <w:rsid w:val="56C22CF3"/>
    <w:rsid w:val="56E51F1D"/>
    <w:rsid w:val="56E93E48"/>
    <w:rsid w:val="56F02C50"/>
    <w:rsid w:val="589306C6"/>
    <w:rsid w:val="58CF5F47"/>
    <w:rsid w:val="592A5DF1"/>
    <w:rsid w:val="5989488E"/>
    <w:rsid w:val="5AF4517C"/>
    <w:rsid w:val="5B0F0CA8"/>
    <w:rsid w:val="5B9F2424"/>
    <w:rsid w:val="5C133668"/>
    <w:rsid w:val="5C1B2ABB"/>
    <w:rsid w:val="5C322C67"/>
    <w:rsid w:val="5CD67032"/>
    <w:rsid w:val="5D2E4C43"/>
    <w:rsid w:val="5EC16C20"/>
    <w:rsid w:val="5F1E6953"/>
    <w:rsid w:val="60D040BC"/>
    <w:rsid w:val="613E3D91"/>
    <w:rsid w:val="614559C9"/>
    <w:rsid w:val="62092D89"/>
    <w:rsid w:val="62EB38C7"/>
    <w:rsid w:val="63565B79"/>
    <w:rsid w:val="636F5CB4"/>
    <w:rsid w:val="640A40ED"/>
    <w:rsid w:val="64206EC4"/>
    <w:rsid w:val="647150E5"/>
    <w:rsid w:val="648C220A"/>
    <w:rsid w:val="653F5C61"/>
    <w:rsid w:val="655D703D"/>
    <w:rsid w:val="65B44ADB"/>
    <w:rsid w:val="65FA20C2"/>
    <w:rsid w:val="661F2356"/>
    <w:rsid w:val="66395378"/>
    <w:rsid w:val="66504267"/>
    <w:rsid w:val="66A15D14"/>
    <w:rsid w:val="66BA60C5"/>
    <w:rsid w:val="66EE78F8"/>
    <w:rsid w:val="66FF7022"/>
    <w:rsid w:val="679D66A5"/>
    <w:rsid w:val="68B97C0C"/>
    <w:rsid w:val="68E371C6"/>
    <w:rsid w:val="6964288A"/>
    <w:rsid w:val="69B5351A"/>
    <w:rsid w:val="6A5A6906"/>
    <w:rsid w:val="6ACF43D9"/>
    <w:rsid w:val="6BD65FBB"/>
    <w:rsid w:val="6C87635C"/>
    <w:rsid w:val="6D2920D0"/>
    <w:rsid w:val="6D6278D0"/>
    <w:rsid w:val="6D6316ED"/>
    <w:rsid w:val="6D874DAF"/>
    <w:rsid w:val="6E875A38"/>
    <w:rsid w:val="6F341549"/>
    <w:rsid w:val="6F743FC6"/>
    <w:rsid w:val="6FA110ED"/>
    <w:rsid w:val="6FA40C91"/>
    <w:rsid w:val="703F76C3"/>
    <w:rsid w:val="705C7751"/>
    <w:rsid w:val="70631C48"/>
    <w:rsid w:val="710A0D4A"/>
    <w:rsid w:val="7113673B"/>
    <w:rsid w:val="7178515B"/>
    <w:rsid w:val="71E032C0"/>
    <w:rsid w:val="71E154D9"/>
    <w:rsid w:val="72F2147A"/>
    <w:rsid w:val="746565D3"/>
    <w:rsid w:val="74D15E00"/>
    <w:rsid w:val="74F43141"/>
    <w:rsid w:val="755A7973"/>
    <w:rsid w:val="75AD6003"/>
    <w:rsid w:val="760A2797"/>
    <w:rsid w:val="766F5A53"/>
    <w:rsid w:val="771A1BD1"/>
    <w:rsid w:val="78113C6C"/>
    <w:rsid w:val="785B50EB"/>
    <w:rsid w:val="788C1387"/>
    <w:rsid w:val="78BE73BD"/>
    <w:rsid w:val="79EE0E19"/>
    <w:rsid w:val="7B0B78DA"/>
    <w:rsid w:val="7BA81E8E"/>
    <w:rsid w:val="7D5E19E0"/>
    <w:rsid w:val="7DDB4D84"/>
    <w:rsid w:val="7F7240B7"/>
    <w:rsid w:val="7FA23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20" w:beforeLines="20" w:after="20" w:afterLines="20" w:line="540" w:lineRule="exact"/>
      <w:ind w:firstLine="723" w:firstLineChars="200"/>
      <w:jc w:val="both"/>
    </w:pPr>
    <w:rPr>
      <w:rFonts w:ascii="Times New Roman" w:hAnsi="Times New Roman" w:eastAsia="仿宋_GB2312" w:cs="Times New Roman"/>
      <w:kern w:val="2"/>
      <w:sz w:val="3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31"/>
      <w:szCs w:val="31"/>
      <w:lang w:eastAsia="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6">
    <w:name w:val="Normal (Web)"/>
    <w:basedOn w:val="1"/>
    <w:qFormat/>
    <w:uiPriority w:val="0"/>
    <w:rPr>
      <w:sz w:val="24"/>
      <w:szCs w:val="24"/>
    </w:rPr>
  </w:style>
  <w:style w:type="table" w:styleId="8">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10">
    <w:name w:val="Table Text"/>
    <w:basedOn w:val="1"/>
    <w:semiHidden/>
    <w:qFormat/>
    <w:uiPriority w:val="0"/>
    <w:rPr>
      <w:rFonts w:ascii="仿宋" w:hAnsi="仿宋" w:eastAsia="仿宋" w:cs="仿宋"/>
      <w:sz w:val="24"/>
      <w:szCs w:val="24"/>
      <w:lang w:eastAsia="en-US"/>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4206</Words>
  <Characters>4573</Characters>
  <Lines>727</Lines>
  <Paragraphs>784</Paragraphs>
  <TotalTime>4</TotalTime>
  <ScaleCrop>false</ScaleCrop>
  <LinksUpToDate>false</LinksUpToDate>
  <CharactersWithSpaces>4641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2025-08-07T13:07:00Z</dcterms:created>
  <dc:creator>bqq</dc:creator>
  <cp:lastModifiedBy>admin</cp:lastModifiedBy>
  <dcterms:modified xsi:type="dcterms:W3CDTF">2025-08-09T06:51:13Z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E644E041F69040E982CBEDAC02491985_13</vt:lpwstr>
  </property>
  <property fmtid="{D5CDD505-2E9C-101B-9397-08002B2CF9AE}" pid="4" name="KSOTemplateDocerSaveRecord">
    <vt:lpwstr>eyJoZGlkIjoiY2FhMDJmYzlkNjk2MDgzZTUwNzRhZGVhYzllOWIwMmUifQ==</vt:lpwstr>
  </property>
</Properties>
</file>